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8.wmf" ContentType="image/x-wmf"/>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wmf" ContentType="image/x-wmf"/>
  <Override PartName="/word/media/image9.gif" ContentType="image/gif"/>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0" distT="0" distB="0" distL="0" distR="0" simplePos="0" locked="0" layoutInCell="0" allowOverlap="1" relativeHeight="5">
            <wp:simplePos x="0" y="0"/>
            <wp:positionH relativeFrom="column">
              <wp:posOffset>1758315</wp:posOffset>
            </wp:positionH>
            <wp:positionV relativeFrom="paragraph">
              <wp:posOffset>184150</wp:posOffset>
            </wp:positionV>
            <wp:extent cx="2315845" cy="2584450"/>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2315845" cy="2584450"/>
                    </a:xfrm>
                    <a:prstGeom prst="rect">
                      <a:avLst/>
                    </a:prstGeom>
                  </pic:spPr>
                </pic:pic>
              </a:graphicData>
            </a:graphic>
          </wp:anchor>
        </w:drawing>
      </w:r>
    </w:p>
    <w:p>
      <w:pPr>
        <w:pStyle w:val="Normal"/>
        <w:rPr/>
      </w:pPr>
      <w:r>
        <w:rPr/>
      </w:r>
    </w:p>
    <w:p>
      <w:pPr>
        <w:pStyle w:val="Normal"/>
        <w:rPr/>
      </w:pPr>
      <w:r>
        <w:rPr/>
      </w:r>
    </w:p>
    <w:p>
      <w:pPr>
        <w:pStyle w:val="Normal"/>
        <w:rPr/>
      </w:pPr>
      <w:r>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Corpodeltesto21"/>
        <w:jc w:val="center"/>
        <w:rPr>
          <w:i/>
          <w:i/>
          <w:sz w:val="72"/>
          <w:szCs w:val="72"/>
          <w:highlight w:val="yellow"/>
        </w:rPr>
      </w:pPr>
      <w:r>
        <w:rPr>
          <w:i/>
          <w:sz w:val="72"/>
          <w:szCs w:val="72"/>
          <w:highlight w:val="yellow"/>
        </w:rPr>
      </w:r>
    </w:p>
    <w:p>
      <w:pPr>
        <w:pStyle w:val="Corpodeltesto21"/>
        <w:jc w:val="center"/>
        <w:rPr>
          <w:i/>
          <w:i/>
          <w:sz w:val="72"/>
          <w:szCs w:val="72"/>
        </w:rPr>
      </w:pPr>
      <w:r>
        <w:rPr>
          <w:i/>
          <w:sz w:val="56"/>
          <w:szCs w:val="56"/>
        </w:rPr>
        <w:t>COMUNE DI MARANO SUL PANARO</w:t>
      </w:r>
    </w:p>
    <w:p>
      <w:pPr>
        <w:pStyle w:val="Corpodeltesto21"/>
        <w:jc w:val="center"/>
        <w:rPr>
          <w:i/>
          <w:i/>
          <w:sz w:val="44"/>
          <w:szCs w:val="44"/>
        </w:rPr>
      </w:pPr>
      <w:r>
        <w:rPr>
          <w:i/>
          <w:sz w:val="44"/>
          <w:szCs w:val="44"/>
        </w:rPr>
        <w:t>Provincia di modena</w:t>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r>
    </w:p>
    <w:p>
      <w:pPr>
        <w:pStyle w:val="Normal"/>
        <w:jc w:val="center"/>
        <w:rPr>
          <w:rFonts w:ascii="Arial" w:hAnsi="Arial" w:cs="Arial"/>
          <w:b/>
          <w:bCs/>
          <w:sz w:val="36"/>
          <w:szCs w:val="36"/>
        </w:rPr>
      </w:pPr>
      <w:r>
        <w:rPr>
          <w:rFonts w:cs="Arial" w:ascii="Arial" w:hAnsi="Arial"/>
          <w:b/>
          <w:bCs/>
          <w:sz w:val="36"/>
          <w:szCs w:val="36"/>
        </w:rPr>
        <w:t xml:space="preserve">PIANO INTEGRATO DI ATTIVITA’ </w:t>
      </w:r>
    </w:p>
    <w:p>
      <w:pPr>
        <w:pStyle w:val="Normal"/>
        <w:jc w:val="center"/>
        <w:rPr>
          <w:rFonts w:ascii="Arial" w:hAnsi="Arial" w:cs="Arial"/>
          <w:b/>
          <w:bCs/>
          <w:sz w:val="36"/>
          <w:szCs w:val="36"/>
        </w:rPr>
      </w:pPr>
      <w:r>
        <w:rPr>
          <w:rFonts w:cs="Arial" w:ascii="Arial" w:hAnsi="Arial"/>
          <w:b/>
          <w:bCs/>
          <w:sz w:val="36"/>
          <w:szCs w:val="36"/>
        </w:rPr>
        <w:t>ED ORGANIZZAZIONE - PIAO</w:t>
      </w:r>
    </w:p>
    <w:p>
      <w:pPr>
        <w:pStyle w:val="Normal"/>
        <w:jc w:val="center"/>
        <w:rPr>
          <w:rFonts w:ascii="Arial" w:hAnsi="Arial" w:cs="Arial"/>
          <w:b/>
          <w:bCs/>
          <w:sz w:val="36"/>
          <w:szCs w:val="36"/>
        </w:rPr>
      </w:pPr>
      <w:r>
        <w:rPr>
          <w:rFonts w:cs="Arial" w:ascii="Arial" w:hAnsi="Arial"/>
          <w:b/>
          <w:bCs/>
          <w:sz w:val="36"/>
          <w:szCs w:val="36"/>
        </w:rPr>
        <w:t>ANNO 2026-2028</w:t>
      </w:r>
    </w:p>
    <w:p>
      <w:pPr>
        <w:pStyle w:val="Normal"/>
        <w:jc w:val="center"/>
        <w:rPr>
          <w:rFonts w:ascii="Arial" w:hAnsi="Arial" w:cs="Arial"/>
          <w:b/>
          <w:bCs/>
          <w:sz w:val="36"/>
          <w:szCs w:val="36"/>
        </w:rPr>
      </w:pPr>
      <w:r>
        <w:rPr>
          <w:rFonts w:cs="Arial" w:ascii="Arial" w:hAnsi="Arial"/>
          <w:b/>
          <w:bCs/>
          <w:sz w:val="36"/>
          <w:szCs w:val="36"/>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sectPr>
          <w:footerReference w:type="default" r:id="rId3"/>
          <w:type w:val="nextPage"/>
          <w:pgSz w:w="11906" w:h="16838"/>
          <w:pgMar w:left="1134" w:right="1134" w:gutter="0" w:header="0" w:top="1417" w:footer="708" w:bottom="1134"/>
          <w:pgNumType w:fmt="decimal"/>
          <w:formProt w:val="false"/>
          <w:textDirection w:val="lrTb"/>
          <w:docGrid w:type="default" w:linePitch="360" w:charSpace="0"/>
        </w:sectPr>
        <w:pStyle w:val="Normal"/>
        <w:rPr>
          <w:rFonts w:ascii="Arial" w:hAnsi="Arial" w:cs="Arial"/>
        </w:rPr>
      </w:pPr>
      <w:r>
        <w:rPr>
          <w:rFonts w:cs="Arial" w:ascii="Arial" w:hAnsi="Arial"/>
        </w:rPr>
        <w:t>Approvato c</w:t>
      </w:r>
      <w:r>
        <w:rPr>
          <w:rFonts w:cs="Arial" w:ascii="Arial" w:hAnsi="Arial"/>
        </w:rPr>
        <w:t xml:space="preserve">on deliberazione della G.C. n.    del </w:t>
      </w:r>
    </w:p>
    <w:p>
      <w:pPr>
        <w:pStyle w:val="Sommario11"/>
        <w:tabs>
          <w:tab w:val="clear" w:pos="720"/>
          <w:tab w:val="left" w:pos="480" w:leader="none"/>
          <w:tab w:val="right" w:pos="9628" w:leader="dot"/>
        </w:tabs>
        <w:rPr>
          <w:rFonts w:ascii="Arial" w:hAnsi="Arial" w:cs="Arial"/>
        </w:rPr>
      </w:pPr>
      <w:r>
        <w:rPr>
          <w:rFonts w:cs="Arial" w:ascii="Arial" w:hAnsi="Arial"/>
        </w:rPr>
      </w:r>
    </w:p>
    <w:p>
      <w:pPr>
        <w:pStyle w:val="Sommario11"/>
        <w:tabs>
          <w:tab w:val="clear" w:pos="720"/>
          <w:tab w:val="left" w:pos="480" w:leader="none"/>
          <w:tab w:val="center" w:pos="4819" w:leader="none"/>
        </w:tabs>
        <w:rPr>
          <w:rFonts w:ascii="Arial" w:hAnsi="Arial" w:cs="Arial"/>
        </w:rPr>
      </w:pPr>
      <w:r>
        <w:rPr>
          <w:rFonts w:cs="Arial" w:ascii="Arial" w:hAnsi="Arial"/>
        </w:rPr>
        <w:t>INDICE</w:t>
        <w:tab/>
      </w:r>
    </w:p>
    <w:p>
      <w:pPr>
        <w:pStyle w:val="Normal"/>
        <w:rPr/>
      </w:pPr>
      <w:r>
        <w:rPr/>
      </w:r>
    </w:p>
    <w:sdt>
      <w:sdtPr>
        <w:docPartObj>
          <w:docPartGallery w:val="Table of Contents"/>
          <w:docPartUnique w:val="true"/>
        </w:docPartObj>
      </w:sdtPr>
      <w:sdtContent>
        <w:p>
          <w:pPr>
            <w:pStyle w:val="TOC2"/>
            <w:tabs>
              <w:tab w:val="clear" w:pos="720"/>
              <w:tab w:val="right" w:pos="9936" w:leader="none"/>
            </w:tabs>
            <w:rPr/>
          </w:pPr>
          <w:r>
            <w:fldChar w:fldCharType="begin"/>
          </w:r>
          <w:r>
            <w:rPr>
              <w:webHidden/>
              <w:rStyle w:val="Saltoaindice"/>
              <w:vanish w:val="false"/>
              <w:rFonts w:cs="Arial" w:ascii="Arial" w:hAnsi="Arial"/>
            </w:rPr>
            <w:instrText xml:space="preserve"> TOC \z \o "1-3" \u \h</w:instrText>
          </w:r>
          <w:r>
            <w:rPr>
              <w:webHidden/>
              <w:rStyle w:val="Saltoaindice"/>
              <w:vanish w:val="false"/>
              <w:rFonts w:cs="Arial" w:ascii="Arial" w:hAnsi="Arial"/>
            </w:rPr>
            <w:fldChar w:fldCharType="separate"/>
          </w:r>
          <w:hyperlink w:anchor="_Toc188008150">
            <w:r>
              <w:rPr>
                <w:webHidden/>
                <w:rStyle w:val="Saltoaindice"/>
                <w:rFonts w:cs="Arial" w:ascii="Arial" w:hAnsi="Arial"/>
                <w:vanish w:val="false"/>
              </w:rPr>
              <w:t>PREMESSA</w:t>
            </w:r>
            <w:r>
              <w:rPr>
                <w:webHidden/>
              </w:rPr>
              <w:fldChar w:fldCharType="begin"/>
            </w:r>
            <w:r>
              <w:rPr>
                <w:webHidden/>
              </w:rPr>
              <w:instrText xml:space="preserve">PAGEREF _Toc188008150 \h</w:instrText>
            </w:r>
            <w:r>
              <w:rPr>
                <w:webHidden/>
              </w:rPr>
              <w:fldChar w:fldCharType="separate"/>
            </w:r>
            <w:r>
              <w:rPr>
                <w:rStyle w:val="Saltoaindice"/>
              </w:rPr>
              <w:tab/>
              <w:t>3</w:t>
            </w:r>
            <w:r>
              <w:rPr>
                <w:webHidden/>
              </w:rPr>
              <w:fldChar w:fldCharType="end"/>
            </w:r>
          </w:hyperlink>
        </w:p>
        <w:p>
          <w:pPr>
            <w:pStyle w:val="TOC2"/>
            <w:tabs>
              <w:tab w:val="clear" w:pos="720"/>
              <w:tab w:val="left" w:pos="660" w:leader="none"/>
              <w:tab w:val="right" w:pos="9936" w:leader="none"/>
            </w:tabs>
            <w:rPr/>
          </w:pPr>
          <w:hyperlink w:anchor="_Toc188008151">
            <w:r>
              <w:rPr>
                <w:webHidden/>
                <w:rStyle w:val="Saltoaindice"/>
                <w:rFonts w:cs="Arial" w:ascii="Arial" w:hAnsi="Arial"/>
                <w:vanish w:val="false"/>
              </w:rPr>
              <w:t>1.</w:t>
            </w:r>
            <w:r>
              <w:rPr>
                <w:rStyle w:val="Saltoaindice"/>
              </w:rPr>
              <w:tab/>
            </w:r>
            <w:r>
              <w:rPr>
                <w:rStyle w:val="Saltoaindice"/>
                <w:rFonts w:cs="Arial" w:ascii="Arial" w:hAnsi="Arial"/>
              </w:rPr>
              <w:t>SEZIONE: SCHEDA ANAGRAFICA DELL’AMMINISTRAZIONE</w:t>
            </w:r>
            <w:r>
              <w:rPr>
                <w:webHidden/>
              </w:rPr>
              <w:fldChar w:fldCharType="begin"/>
            </w:r>
            <w:r>
              <w:rPr>
                <w:webHidden/>
              </w:rPr>
              <w:instrText xml:space="preserve">PAGEREF _Toc188008151 \h</w:instrText>
            </w:r>
            <w:r>
              <w:rPr>
                <w:webHidden/>
              </w:rPr>
              <w:fldChar w:fldCharType="separate"/>
            </w:r>
            <w:r>
              <w:rPr>
                <w:rStyle w:val="Saltoaindice"/>
              </w:rPr>
              <w:tab/>
              <w:t>5</w:t>
            </w:r>
            <w:r>
              <w:rPr>
                <w:webHidden/>
              </w:rPr>
              <w:fldChar w:fldCharType="end"/>
            </w:r>
          </w:hyperlink>
        </w:p>
        <w:p>
          <w:pPr>
            <w:pStyle w:val="TOC3"/>
            <w:tabs>
              <w:tab w:val="clear" w:pos="720"/>
              <w:tab w:val="left" w:pos="1100" w:leader="none"/>
              <w:tab w:val="right" w:pos="9936" w:leader="none"/>
            </w:tabs>
            <w:rPr/>
          </w:pPr>
          <w:hyperlink w:anchor="_Toc188008152">
            <w:r>
              <w:rPr>
                <w:webHidden/>
              </w:rPr>
              <w:fldChar w:fldCharType="begin"/>
            </w:r>
            <w:r>
              <w:rPr>
                <w:webHidden/>
              </w:rPr>
              <w:instrText xml:space="preserve">PAGEREF _Toc188008152 \h</w:instrText>
            </w:r>
            <w:r>
              <w:rPr>
                <w:webHidden/>
              </w:rPr>
              <w:fldChar w:fldCharType="separate"/>
            </w:r>
            <w:r>
              <w:rPr>
                <w:webHidden/>
                <w:rStyle w:val="Saltoaindice"/>
                <w:vanish w:val="false"/>
              </w:rPr>
              <w:t>1.1</w:t>
              <w:tab/>
              <w:t>Scheda Anagrafica</w:t>
              <w:tab/>
              <w:t>5</w:t>
            </w:r>
            <w:r>
              <w:rPr>
                <w:webHidden/>
              </w:rPr>
              <w:fldChar w:fldCharType="end"/>
            </w:r>
          </w:hyperlink>
        </w:p>
        <w:p>
          <w:pPr>
            <w:pStyle w:val="TOC3"/>
            <w:tabs>
              <w:tab w:val="clear" w:pos="720"/>
              <w:tab w:val="left" w:pos="1100" w:leader="none"/>
              <w:tab w:val="right" w:pos="9936" w:leader="none"/>
            </w:tabs>
            <w:rPr/>
          </w:pPr>
          <w:hyperlink w:anchor="_Toc188008153">
            <w:r>
              <w:rPr>
                <w:webHidden/>
              </w:rPr>
              <w:fldChar w:fldCharType="begin"/>
            </w:r>
            <w:r>
              <w:rPr>
                <w:webHidden/>
              </w:rPr>
              <w:instrText xml:space="preserve">PAGEREF _Toc188008153 \h</w:instrText>
            </w:r>
            <w:r>
              <w:rPr>
                <w:webHidden/>
              </w:rPr>
              <w:fldChar w:fldCharType="separate"/>
            </w:r>
            <w:r>
              <w:rPr>
                <w:webHidden/>
                <w:rStyle w:val="Saltoaindice"/>
                <w:vanish w:val="false"/>
              </w:rPr>
              <w:t>1.2</w:t>
              <w:tab/>
              <w:t>Presentazione del Comune</w:t>
              <w:tab/>
              <w:t>5</w:t>
            </w:r>
            <w:r>
              <w:rPr>
                <w:webHidden/>
              </w:rPr>
              <w:fldChar w:fldCharType="end"/>
            </w:r>
          </w:hyperlink>
        </w:p>
        <w:p>
          <w:pPr>
            <w:pStyle w:val="TOC3"/>
            <w:tabs>
              <w:tab w:val="clear" w:pos="720"/>
              <w:tab w:val="left" w:pos="1100" w:leader="none"/>
              <w:tab w:val="right" w:pos="9936" w:leader="none"/>
            </w:tabs>
            <w:rPr/>
          </w:pPr>
          <w:hyperlink w:anchor="_Toc188008154">
            <w:r>
              <w:rPr>
                <w:webHidden/>
              </w:rPr>
              <w:fldChar w:fldCharType="begin"/>
            </w:r>
            <w:r>
              <w:rPr>
                <w:webHidden/>
              </w:rPr>
              <w:instrText xml:space="preserve">PAGEREF _Toc188008154 \h</w:instrText>
            </w:r>
            <w:r>
              <w:rPr>
                <w:webHidden/>
              </w:rPr>
              <w:fldChar w:fldCharType="separate"/>
            </w:r>
            <w:r>
              <w:rPr>
                <w:webHidden/>
                <w:rStyle w:val="Saltoaindice"/>
                <w:vanish w:val="false"/>
              </w:rPr>
              <w:t>1.3</w:t>
              <w:tab/>
              <w:t>L’Unione Terre di Castelli</w:t>
              <w:tab/>
              <w:t>6</w:t>
            </w:r>
            <w:r>
              <w:rPr>
                <w:webHidden/>
              </w:rPr>
              <w:fldChar w:fldCharType="end"/>
            </w:r>
          </w:hyperlink>
        </w:p>
        <w:p>
          <w:pPr>
            <w:pStyle w:val="TOC3"/>
            <w:tabs>
              <w:tab w:val="clear" w:pos="720"/>
              <w:tab w:val="left" w:pos="1100" w:leader="none"/>
              <w:tab w:val="right" w:pos="9936" w:leader="none"/>
            </w:tabs>
            <w:rPr/>
          </w:pPr>
          <w:hyperlink w:anchor="_Toc188008155">
            <w:r>
              <w:rPr>
                <w:webHidden/>
              </w:rPr>
              <w:fldChar w:fldCharType="begin"/>
            </w:r>
            <w:r>
              <w:rPr>
                <w:webHidden/>
              </w:rPr>
              <w:instrText xml:space="preserve">PAGEREF _Toc188008155 \h</w:instrText>
            </w:r>
            <w:r>
              <w:rPr>
                <w:webHidden/>
              </w:rPr>
              <w:fldChar w:fldCharType="separate"/>
            </w:r>
            <w:r>
              <w:rPr>
                <w:webHidden/>
                <w:rStyle w:val="Saltoaindice"/>
                <w:vanish w:val="false"/>
              </w:rPr>
              <w:t>1.4</w:t>
              <w:tab/>
              <w:t>Le partecipazioni e gli Enti Strumentali dell’Ente</w:t>
              <w:tab/>
              <w:t>7</w:t>
            </w:r>
            <w:r>
              <w:rPr>
                <w:webHidden/>
              </w:rPr>
              <w:fldChar w:fldCharType="end"/>
            </w:r>
          </w:hyperlink>
        </w:p>
        <w:p>
          <w:pPr>
            <w:pStyle w:val="TOC3"/>
            <w:tabs>
              <w:tab w:val="clear" w:pos="720"/>
              <w:tab w:val="left" w:pos="1100" w:leader="none"/>
              <w:tab w:val="right" w:pos="9936" w:leader="none"/>
            </w:tabs>
            <w:rPr/>
          </w:pPr>
          <w:hyperlink w:anchor="_Toc188008156">
            <w:r>
              <w:rPr>
                <w:webHidden/>
              </w:rPr>
              <w:fldChar w:fldCharType="begin"/>
            </w:r>
            <w:r>
              <w:rPr>
                <w:webHidden/>
              </w:rPr>
              <w:instrText xml:space="preserve">PAGEREF _Toc188008156 \h</w:instrText>
            </w:r>
            <w:r>
              <w:rPr>
                <w:webHidden/>
              </w:rPr>
              <w:fldChar w:fldCharType="separate"/>
            </w:r>
            <w:r>
              <w:rPr>
                <w:webHidden/>
                <w:rStyle w:val="Saltoaindice"/>
                <w:vanish w:val="false"/>
              </w:rPr>
              <w:t>1.5</w:t>
              <w:tab/>
              <w:t>Entrate e spese dell’ente</w:t>
              <w:tab/>
              <w:t>8</w:t>
            </w:r>
            <w:r>
              <w:rPr>
                <w:webHidden/>
              </w:rPr>
              <w:fldChar w:fldCharType="end"/>
            </w:r>
          </w:hyperlink>
        </w:p>
        <w:p>
          <w:pPr>
            <w:pStyle w:val="TOC2"/>
            <w:tabs>
              <w:tab w:val="clear" w:pos="720"/>
              <w:tab w:val="left" w:pos="660" w:leader="none"/>
              <w:tab w:val="right" w:pos="9936" w:leader="none"/>
            </w:tabs>
            <w:rPr/>
          </w:pPr>
          <w:hyperlink w:anchor="_Toc188008157">
            <w:r>
              <w:rPr>
                <w:webHidden/>
                <w:rStyle w:val="Saltoaindice"/>
                <w:rFonts w:cs="Arial" w:ascii="Arial" w:hAnsi="Arial"/>
                <w:vanish w:val="false"/>
              </w:rPr>
              <w:t>2.</w:t>
            </w:r>
            <w:r>
              <w:rPr>
                <w:rStyle w:val="Saltoaindice"/>
              </w:rPr>
              <w:tab/>
            </w:r>
            <w:r>
              <w:rPr>
                <w:rStyle w:val="Saltoaindice"/>
                <w:rFonts w:cs="Arial" w:ascii="Arial" w:hAnsi="Arial"/>
              </w:rPr>
              <w:t>SEZIONE: VALORE PUBBLICO, PERFORMANCE E ANTICORRUZIONE</w:t>
            </w:r>
            <w:r>
              <w:rPr>
                <w:webHidden/>
              </w:rPr>
              <w:fldChar w:fldCharType="begin"/>
            </w:r>
            <w:r>
              <w:rPr>
                <w:webHidden/>
              </w:rPr>
              <w:instrText xml:space="preserve">PAGEREF _Toc188008157 \h</w:instrText>
            </w:r>
            <w:r>
              <w:rPr>
                <w:webHidden/>
              </w:rPr>
              <w:fldChar w:fldCharType="separate"/>
            </w:r>
            <w:r>
              <w:rPr>
                <w:rStyle w:val="Saltoaindice"/>
              </w:rPr>
              <w:tab/>
              <w:t>10</w:t>
            </w:r>
            <w:r>
              <w:rPr>
                <w:webHidden/>
              </w:rPr>
              <w:fldChar w:fldCharType="end"/>
            </w:r>
          </w:hyperlink>
        </w:p>
        <w:p>
          <w:pPr>
            <w:pStyle w:val="TOC3"/>
            <w:tabs>
              <w:tab w:val="clear" w:pos="720"/>
              <w:tab w:val="left" w:pos="1100" w:leader="none"/>
              <w:tab w:val="right" w:pos="9936" w:leader="none"/>
            </w:tabs>
            <w:rPr/>
          </w:pPr>
          <w:hyperlink w:anchor="_Toc188008158">
            <w:r>
              <w:rPr>
                <w:webHidden/>
              </w:rPr>
              <w:fldChar w:fldCharType="begin"/>
            </w:r>
            <w:r>
              <w:rPr>
                <w:webHidden/>
              </w:rPr>
              <w:instrText xml:space="preserve">PAGEREF _Toc188008158 \h</w:instrText>
            </w:r>
            <w:r>
              <w:rPr>
                <w:webHidden/>
              </w:rPr>
              <w:fldChar w:fldCharType="separate"/>
            </w:r>
            <w:r>
              <w:rPr>
                <w:webHidden/>
                <w:rStyle w:val="Saltoaindice"/>
                <w:vanish w:val="false"/>
              </w:rPr>
              <w:t>2.1</w:t>
              <w:tab/>
              <w:t>Sottosezione: Valore Pubblico</w:t>
              <w:tab/>
              <w:t>10</w:t>
            </w:r>
            <w:r>
              <w:rPr>
                <w:webHidden/>
              </w:rPr>
              <w:fldChar w:fldCharType="end"/>
            </w:r>
          </w:hyperlink>
        </w:p>
        <w:p>
          <w:pPr>
            <w:pStyle w:val="TOC3"/>
            <w:tabs>
              <w:tab w:val="clear" w:pos="720"/>
              <w:tab w:val="left" w:pos="1100" w:leader="none"/>
              <w:tab w:val="right" w:pos="9936" w:leader="none"/>
            </w:tabs>
            <w:rPr/>
          </w:pPr>
          <w:hyperlink w:anchor="_Toc188008159">
            <w:r>
              <w:rPr>
                <w:webHidden/>
              </w:rPr>
              <w:fldChar w:fldCharType="begin"/>
            </w:r>
            <w:r>
              <w:rPr>
                <w:webHidden/>
              </w:rPr>
              <w:instrText xml:space="preserve">PAGEREF _Toc188008159 \h</w:instrText>
            </w:r>
            <w:r>
              <w:rPr>
                <w:webHidden/>
              </w:rPr>
              <w:fldChar w:fldCharType="separate"/>
            </w:r>
            <w:r>
              <w:rPr>
                <w:webHidden/>
                <w:rStyle w:val="Saltoaindice"/>
                <w:vanish w:val="false"/>
              </w:rPr>
              <w:t>2.2</w:t>
              <w:tab/>
              <w:t>Sottosezione: Performance</w:t>
              <w:tab/>
              <w:t>10</w:t>
            </w:r>
            <w:r>
              <w:rPr>
                <w:webHidden/>
              </w:rPr>
              <w:fldChar w:fldCharType="end"/>
            </w:r>
          </w:hyperlink>
        </w:p>
        <w:p>
          <w:pPr>
            <w:pStyle w:val="TOC3"/>
            <w:tabs>
              <w:tab w:val="clear" w:pos="720"/>
              <w:tab w:val="left" w:pos="1100" w:leader="none"/>
              <w:tab w:val="right" w:pos="9936" w:leader="none"/>
            </w:tabs>
            <w:rPr/>
          </w:pPr>
          <w:hyperlink w:anchor="_Toc188008160">
            <w:r>
              <w:rPr>
                <w:webHidden/>
              </w:rPr>
              <w:fldChar w:fldCharType="begin"/>
            </w:r>
            <w:r>
              <w:rPr>
                <w:webHidden/>
              </w:rPr>
              <w:instrText xml:space="preserve">PAGEREF _Toc188008160 \h</w:instrText>
            </w:r>
            <w:r>
              <w:rPr>
                <w:webHidden/>
              </w:rPr>
              <w:fldChar w:fldCharType="separate"/>
            </w:r>
            <w:r>
              <w:rPr>
                <w:webHidden/>
                <w:rStyle w:val="Saltoaindice"/>
                <w:vanish w:val="false"/>
              </w:rPr>
              <w:t>2.3</w:t>
              <w:tab/>
              <w:t>Sottosezione: Rischi corruttivi e trasparenza</w:t>
              <w:tab/>
              <w:t>10</w:t>
            </w:r>
            <w:r>
              <w:rPr>
                <w:webHidden/>
              </w:rPr>
              <w:fldChar w:fldCharType="end"/>
            </w:r>
          </w:hyperlink>
        </w:p>
        <w:p>
          <w:pPr>
            <w:pStyle w:val="TOC2"/>
            <w:tabs>
              <w:tab w:val="clear" w:pos="720"/>
              <w:tab w:val="left" w:pos="660" w:leader="none"/>
              <w:tab w:val="right" w:pos="9936" w:leader="none"/>
            </w:tabs>
            <w:rPr/>
          </w:pPr>
          <w:hyperlink w:anchor="_Toc188008161">
            <w:r>
              <w:rPr>
                <w:webHidden/>
                <w:rStyle w:val="Saltoaindice"/>
                <w:rFonts w:cs="Arial" w:ascii="Arial" w:hAnsi="Arial"/>
                <w:vanish w:val="false"/>
              </w:rPr>
              <w:t>3.</w:t>
            </w:r>
            <w:r>
              <w:rPr>
                <w:rStyle w:val="Saltoaindice"/>
              </w:rPr>
              <w:tab/>
            </w:r>
            <w:r>
              <w:rPr>
                <w:rStyle w:val="Saltoaindice"/>
                <w:rFonts w:cs="Arial" w:ascii="Arial" w:hAnsi="Arial"/>
              </w:rPr>
              <w:t>SEZIONE: ORGANIZZAZIONE E CAPITALE UMANO</w:t>
            </w:r>
            <w:r>
              <w:rPr>
                <w:webHidden/>
              </w:rPr>
              <w:fldChar w:fldCharType="begin"/>
            </w:r>
            <w:r>
              <w:rPr>
                <w:webHidden/>
              </w:rPr>
              <w:instrText xml:space="preserve">PAGEREF _Toc188008161 \h</w:instrText>
            </w:r>
            <w:r>
              <w:rPr>
                <w:webHidden/>
              </w:rPr>
              <w:fldChar w:fldCharType="separate"/>
            </w:r>
            <w:r>
              <w:rPr>
                <w:rStyle w:val="Saltoaindice"/>
              </w:rPr>
              <w:tab/>
              <w:t>43</w:t>
            </w:r>
            <w:r>
              <w:rPr>
                <w:webHidden/>
              </w:rPr>
              <w:fldChar w:fldCharType="end"/>
            </w:r>
          </w:hyperlink>
        </w:p>
        <w:p>
          <w:pPr>
            <w:pStyle w:val="TOC3"/>
            <w:tabs>
              <w:tab w:val="clear" w:pos="720"/>
              <w:tab w:val="left" w:pos="1100" w:leader="none"/>
              <w:tab w:val="right" w:pos="9936" w:leader="none"/>
            </w:tabs>
            <w:rPr/>
          </w:pPr>
          <w:hyperlink w:anchor="_Toc188008162">
            <w:r>
              <w:rPr>
                <w:webHidden/>
              </w:rPr>
              <w:fldChar w:fldCharType="begin"/>
            </w:r>
            <w:r>
              <w:rPr>
                <w:webHidden/>
              </w:rPr>
              <w:instrText xml:space="preserve">PAGEREF _Toc188008162 \h</w:instrText>
            </w:r>
            <w:r>
              <w:rPr>
                <w:webHidden/>
              </w:rPr>
              <w:fldChar w:fldCharType="separate"/>
            </w:r>
            <w:r>
              <w:rPr>
                <w:webHidden/>
                <w:rStyle w:val="Saltoaindice"/>
                <w:vanish w:val="false"/>
              </w:rPr>
              <w:t>3.1</w:t>
              <w:tab/>
              <w:t>Sottosezione: Struttura organizzativa</w:t>
              <w:tab/>
              <w:t>43</w:t>
            </w:r>
            <w:r>
              <w:rPr>
                <w:webHidden/>
              </w:rPr>
              <w:fldChar w:fldCharType="end"/>
            </w:r>
          </w:hyperlink>
        </w:p>
        <w:p>
          <w:pPr>
            <w:pStyle w:val="TOC3"/>
            <w:tabs>
              <w:tab w:val="clear" w:pos="720"/>
              <w:tab w:val="left" w:pos="1100" w:leader="none"/>
              <w:tab w:val="right" w:pos="9936" w:leader="none"/>
            </w:tabs>
            <w:rPr/>
          </w:pPr>
          <w:hyperlink w:anchor="_Toc188008163">
            <w:r>
              <w:rPr>
                <w:webHidden/>
              </w:rPr>
              <w:fldChar w:fldCharType="begin"/>
            </w:r>
            <w:r>
              <w:rPr>
                <w:webHidden/>
              </w:rPr>
              <w:instrText xml:space="preserve">PAGEREF _Toc188008163 \h</w:instrText>
            </w:r>
            <w:r>
              <w:rPr>
                <w:webHidden/>
              </w:rPr>
              <w:fldChar w:fldCharType="separate"/>
            </w:r>
            <w:r>
              <w:rPr>
                <w:webHidden/>
                <w:rStyle w:val="Saltoaindice"/>
                <w:vanish w:val="false"/>
              </w:rPr>
              <w:t>3.2</w:t>
              <w:tab/>
              <w:t>Sottosezione: Organizzazione del Lavoro Agile</w:t>
              <w:tab/>
              <w:t>49</w:t>
            </w:r>
            <w:r>
              <w:rPr>
                <w:webHidden/>
              </w:rPr>
              <w:fldChar w:fldCharType="end"/>
            </w:r>
          </w:hyperlink>
        </w:p>
        <w:p>
          <w:pPr>
            <w:pStyle w:val="TOC3"/>
            <w:tabs>
              <w:tab w:val="clear" w:pos="720"/>
              <w:tab w:val="left" w:pos="1100" w:leader="none"/>
              <w:tab w:val="right" w:pos="9936" w:leader="none"/>
            </w:tabs>
            <w:rPr/>
          </w:pPr>
          <w:hyperlink w:anchor="_Toc188008164">
            <w:r>
              <w:rPr>
                <w:webHidden/>
              </w:rPr>
              <w:fldChar w:fldCharType="begin"/>
            </w:r>
            <w:r>
              <w:rPr>
                <w:webHidden/>
              </w:rPr>
              <w:instrText xml:space="preserve">PAGEREF _Toc188008164 \h</w:instrText>
            </w:r>
            <w:r>
              <w:rPr>
                <w:webHidden/>
              </w:rPr>
              <w:fldChar w:fldCharType="separate"/>
            </w:r>
            <w:r>
              <w:rPr>
                <w:webHidden/>
                <w:rStyle w:val="Saltoaindice"/>
                <w:vanish w:val="false"/>
              </w:rPr>
              <w:t>3.3</w:t>
              <w:tab/>
              <w:t>Sottosezione: Piano Triennale dei Fabbisogni del Personale</w:t>
              <w:tab/>
              <w:t>52</w:t>
            </w:r>
            <w:r>
              <w:rPr>
                <w:webHidden/>
              </w:rPr>
              <w:fldChar w:fldCharType="end"/>
            </w:r>
          </w:hyperlink>
        </w:p>
        <w:p>
          <w:pPr>
            <w:pStyle w:val="TOC3"/>
            <w:tabs>
              <w:tab w:val="clear" w:pos="720"/>
              <w:tab w:val="left" w:pos="1320" w:leader="none"/>
              <w:tab w:val="right" w:pos="9936" w:leader="none"/>
            </w:tabs>
            <w:rPr/>
          </w:pPr>
          <w:hyperlink w:anchor="_Toc188008165">
            <w:r>
              <w:rPr>
                <w:webHidden/>
              </w:rPr>
              <w:fldChar w:fldCharType="begin"/>
            </w:r>
            <w:r>
              <w:rPr>
                <w:webHidden/>
              </w:rPr>
              <w:instrText xml:space="preserve">PAGEREF _Toc188008165 \h</w:instrText>
            </w:r>
            <w:r>
              <w:rPr>
                <w:webHidden/>
              </w:rPr>
              <w:fldChar w:fldCharType="separate"/>
            </w:r>
            <w:r>
              <w:rPr>
                <w:webHidden/>
                <w:rStyle w:val="Saltoaindice"/>
                <w:vanish w:val="false"/>
              </w:rPr>
              <w:t>3.3.1</w:t>
              <w:tab/>
              <w:t>Rappresentazione della consistenza di personale</w:t>
              <w:tab/>
              <w:t>52</w:t>
            </w:r>
            <w:r>
              <w:rPr>
                <w:webHidden/>
              </w:rPr>
              <w:fldChar w:fldCharType="end"/>
            </w:r>
          </w:hyperlink>
        </w:p>
        <w:p>
          <w:pPr>
            <w:pStyle w:val="TOC3"/>
            <w:tabs>
              <w:tab w:val="clear" w:pos="720"/>
              <w:tab w:val="right" w:pos="9936" w:leader="none"/>
            </w:tabs>
            <w:rPr/>
          </w:pPr>
          <w:hyperlink w:anchor="_Toc188008166">
            <w:r>
              <w:rPr>
                <w:webHidden/>
                <w:rStyle w:val="Saltoaindice"/>
                <w:rFonts w:cs="Arial" w:ascii="Arial" w:hAnsi="Arial"/>
                <w:vanish w:val="false"/>
              </w:rPr>
              <w:t>VERIFICA SULLE SITUAZIONI DI ECCEDENZA O SOPRANNUMERO DI PERSONALE</w:t>
            </w:r>
            <w:r>
              <w:rPr>
                <w:webHidden/>
              </w:rPr>
              <w:fldChar w:fldCharType="begin"/>
            </w:r>
            <w:r>
              <w:rPr>
                <w:webHidden/>
              </w:rPr>
              <w:instrText xml:space="preserve">PAGEREF _Toc188008166 \h</w:instrText>
            </w:r>
            <w:r>
              <w:rPr>
                <w:webHidden/>
              </w:rPr>
              <w:fldChar w:fldCharType="separate"/>
            </w:r>
            <w:r>
              <w:rPr>
                <w:rStyle w:val="Saltoaindice"/>
              </w:rPr>
              <w:tab/>
              <w:t>53</w:t>
            </w:r>
            <w:r>
              <w:rPr>
                <w:webHidden/>
              </w:rPr>
              <w:fldChar w:fldCharType="end"/>
            </w:r>
          </w:hyperlink>
        </w:p>
        <w:p>
          <w:pPr>
            <w:pStyle w:val="TOC3"/>
            <w:tabs>
              <w:tab w:val="clear" w:pos="720"/>
              <w:tab w:val="right" w:pos="9936" w:leader="none"/>
            </w:tabs>
            <w:rPr/>
          </w:pPr>
          <w:hyperlink w:anchor="_Toc188008167">
            <w:r>
              <w:rPr>
                <w:webHidden/>
                <w:rStyle w:val="Saltoaindice"/>
                <w:rFonts w:eastAsia="Times New Roman" w:cs="Arial" w:ascii="Arial" w:hAnsi="Arial"/>
                <w:b/>
                <w:bCs/>
                <w:vanish w:val="false"/>
                <w:lang w:eastAsia="it-IT"/>
              </w:rPr>
              <w:t>3.3.2 Strategia di copertura del fabbisogno</w:t>
            </w:r>
            <w:r>
              <w:rPr>
                <w:webHidden/>
              </w:rPr>
              <w:fldChar w:fldCharType="begin"/>
            </w:r>
            <w:r>
              <w:rPr>
                <w:webHidden/>
              </w:rPr>
              <w:instrText xml:space="preserve">PAGEREF _Toc188008167 \h</w:instrText>
            </w:r>
            <w:r>
              <w:rPr>
                <w:webHidden/>
              </w:rPr>
              <w:fldChar w:fldCharType="separate"/>
            </w:r>
            <w:r>
              <w:rPr>
                <w:rStyle w:val="Saltoaindice"/>
              </w:rPr>
              <w:tab/>
              <w:t>53</w:t>
            </w:r>
            <w:r>
              <w:rPr>
                <w:webHidden/>
              </w:rPr>
              <w:fldChar w:fldCharType="end"/>
            </w:r>
          </w:hyperlink>
        </w:p>
        <w:p>
          <w:pPr>
            <w:pStyle w:val="TOC3"/>
            <w:tabs>
              <w:tab w:val="clear" w:pos="720"/>
              <w:tab w:val="left" w:pos="1100" w:leader="none"/>
              <w:tab w:val="right" w:pos="9936" w:leader="none"/>
            </w:tabs>
            <w:rPr/>
          </w:pPr>
          <w:hyperlink w:anchor="_Toc188008168">
            <w:r>
              <w:rPr>
                <w:webHidden/>
              </w:rPr>
              <w:fldChar w:fldCharType="begin"/>
            </w:r>
            <w:r>
              <w:rPr>
                <w:webHidden/>
              </w:rPr>
              <w:instrText xml:space="preserve">PAGEREF _Toc188008168 \h</w:instrText>
            </w:r>
            <w:r>
              <w:rPr>
                <w:webHidden/>
              </w:rPr>
              <w:fldChar w:fldCharType="separate"/>
            </w:r>
            <w:r>
              <w:rPr>
                <w:webHidden/>
                <w:rStyle w:val="Saltoaindice"/>
                <w:vanish w:val="false"/>
              </w:rPr>
              <w:t>4.1</w:t>
              <w:tab/>
              <w:t>Governance del PIAO</w:t>
              <w:tab/>
              <w:t>59</w:t>
            </w:r>
            <w:r>
              <w:rPr>
                <w:webHidden/>
              </w:rPr>
              <w:fldChar w:fldCharType="end"/>
            </w:r>
          </w:hyperlink>
        </w:p>
        <w:p>
          <w:pPr>
            <w:pStyle w:val="TOC3"/>
            <w:tabs>
              <w:tab w:val="clear" w:pos="720"/>
              <w:tab w:val="left" w:pos="1100" w:leader="none"/>
              <w:tab w:val="right" w:pos="9936" w:leader="none"/>
            </w:tabs>
            <w:rPr/>
          </w:pPr>
          <w:hyperlink w:anchor="_Toc188008169">
            <w:r>
              <w:rPr>
                <w:webHidden/>
              </w:rPr>
              <w:fldChar w:fldCharType="begin"/>
            </w:r>
            <w:r>
              <w:rPr>
                <w:webHidden/>
              </w:rPr>
              <w:instrText xml:space="preserve">PAGEREF _Toc188008169 \h</w:instrText>
            </w:r>
            <w:r>
              <w:rPr>
                <w:webHidden/>
              </w:rPr>
              <w:fldChar w:fldCharType="separate"/>
            </w:r>
            <w:r>
              <w:rPr>
                <w:webHidden/>
                <w:rStyle w:val="Saltoaindice"/>
                <w:vanish w:val="false"/>
              </w:rPr>
              <w:t>4.2</w:t>
              <w:tab/>
              <w:t>Monitoraggio del PIAO</w:t>
              <w:tab/>
              <w:t>59</w:t>
            </w:r>
            <w:r>
              <w:rPr>
                <w:webHidden/>
              </w:rPr>
              <w:fldChar w:fldCharType="end"/>
            </w:r>
          </w:hyperlink>
          <w:r>
            <w:rPr>
              <w:rStyle w:val="Saltoaindice"/>
              <w:vanish w:val="false"/>
            </w:rPr>
            <w:fldChar w:fldCharType="end"/>
          </w:r>
        </w:p>
      </w:sdtContent>
    </w:sdt>
    <w:p>
      <w:pPr>
        <w:pStyle w:val="Sommario21"/>
        <w:tabs>
          <w:tab w:val="left" w:pos="720" w:leader="none"/>
          <w:tab w:val="right" w:pos="9628" w:leader="none"/>
        </w:tabs>
        <w:rPr>
          <w:rFonts w:ascii="Arial" w:hAnsi="Arial" w:eastAsia="" w:cs="Arial" w:eastAsiaTheme="minorEastAsia"/>
          <w:b w:val="false"/>
          <w:bCs w:val="false"/>
          <w:sz w:val="22"/>
          <w:szCs w:val="22"/>
          <w:lang w:eastAsia="it-IT"/>
        </w:rPr>
      </w:pPr>
      <w:r>
        <w:rPr>
          <w:rFonts w:eastAsia="" w:cs="Arial" w:eastAsiaTheme="minorEastAsia" w:ascii="Arial" w:hAnsi="Arial"/>
          <w:b w:val="false"/>
          <w:bCs w:val="false"/>
          <w:sz w:val="22"/>
          <w:szCs w:val="22"/>
          <w:lang w:eastAsia="it-IT"/>
        </w:rPr>
      </w:r>
    </w:p>
    <w:p>
      <w:pPr>
        <w:pStyle w:val="Normal"/>
        <w:rPr>
          <w:rFonts w:ascii="Arial" w:hAnsi="Arial" w:cs="Arial"/>
        </w:rPr>
      </w:pPr>
      <w:r>
        <w:rPr>
          <w:rFonts w:cs="Arial" w:ascii="Arial" w:hAnsi="Arial"/>
        </w:rPr>
      </w:r>
      <w:r>
        <w:br w:type="page"/>
      </w:r>
    </w:p>
    <w:p>
      <w:pPr>
        <w:pStyle w:val="Titolo11"/>
        <w:spacing w:before="0" w:after="0"/>
        <w:rPr>
          <w:rFonts w:ascii="Arial" w:hAnsi="Arial" w:cs="Arial"/>
          <w:sz w:val="28"/>
          <w:szCs w:val="28"/>
        </w:rPr>
      </w:pPr>
      <w:bookmarkStart w:id="0" w:name="_Toc102726155"/>
      <w:bookmarkStart w:id="1" w:name="_Toc188008150"/>
      <w:r>
        <w:rPr>
          <w:rFonts w:cs="Arial" w:ascii="Arial" w:hAnsi="Arial"/>
          <w:sz w:val="28"/>
          <w:szCs w:val="28"/>
        </w:rPr>
        <w:t>PREMESSA</w:t>
      </w:r>
      <w:bookmarkEnd w:id="0"/>
      <w:bookmarkEnd w:id="1"/>
    </w:p>
    <w:p>
      <w:pPr>
        <w:pStyle w:val="NormalWeb"/>
        <w:numPr>
          <w:ilvl w:val="0"/>
          <w:numId w:val="1"/>
        </w:numPr>
        <w:spacing w:lineRule="exact" w:line="260" w:before="280" w:after="280"/>
        <w:ind w:hanging="426" w:left="426"/>
        <w:jc w:val="both"/>
        <w:rPr>
          <w:rFonts w:ascii="Arial" w:hAnsi="Arial" w:eastAsia="" w:cs="Arial" w:eastAsiaTheme="majorEastAsia"/>
          <w:i/>
          <w:i/>
          <w:color w:themeColor="accent1" w:themeShade="bf" w:val="2F5496"/>
          <w:lang w:eastAsia="en-US"/>
        </w:rPr>
      </w:pPr>
      <w:r>
        <w:rPr>
          <w:rFonts w:eastAsia="" w:cs="Arial" w:ascii="Arial" w:hAnsi="Arial" w:eastAsiaTheme="majorEastAsia"/>
          <w:i/>
          <w:color w:themeColor="accent1" w:themeShade="bf" w:val="2F5496"/>
          <w:lang w:eastAsia="en-US"/>
        </w:rPr>
        <w:t>I riferimenti normativi</w:t>
      </w:r>
    </w:p>
    <w:p>
      <w:pPr>
        <w:pStyle w:val="NormalWeb"/>
        <w:spacing w:lineRule="exact" w:line="260" w:beforeAutospacing="0" w:before="120" w:afterAutospacing="0" w:after="280"/>
        <w:jc w:val="both"/>
        <w:rPr>
          <w:rFonts w:ascii="Arial" w:hAnsi="Arial" w:cs="Arial"/>
          <w:sz w:val="22"/>
          <w:szCs w:val="22"/>
        </w:rPr>
      </w:pPr>
      <w:r>
        <w:rPr>
          <w:rFonts w:cs="Arial" w:ascii="Arial" w:hAnsi="Arial"/>
          <w:sz w:val="22"/>
          <w:szCs w:val="22"/>
        </w:rPr>
        <w:t xml:space="preserve">L’articolo 6 del decreto-legge 9 giugno 2021, n. 80, convertito, con modificazioni, dalla legge 6 agosto 2021, n. 113 ha previsto che le pubbliche amministrazioni, adottino, entro il 31 gennaio di ogni anno, il Piano integrato di attività̀ e organizzazione. Il Piano ha l’obiettivo di assorbire, razionalizzandone la disciplina in un’ottica di massima semplificazione, molti degli atti di pianificazione cui sono tenute le amministrazioni. </w:t>
      </w:r>
    </w:p>
    <w:p>
      <w:pPr>
        <w:pStyle w:val="NormalWeb"/>
        <w:spacing w:lineRule="exact" w:line="260" w:beforeAutospacing="0" w:before="120" w:afterAutospacing="0" w:after="280"/>
        <w:jc w:val="both"/>
        <w:rPr>
          <w:rFonts w:ascii="Arial" w:hAnsi="Arial" w:cs="Arial"/>
          <w:i/>
          <w:i/>
          <w:iCs/>
          <w:sz w:val="22"/>
          <w:szCs w:val="22"/>
        </w:rPr>
      </w:pPr>
      <w:r>
        <w:rPr>
          <w:rFonts w:cs="Arial" w:ascii="Arial" w:hAnsi="Arial"/>
          <w:sz w:val="22"/>
          <w:szCs w:val="22"/>
        </w:rPr>
        <w:t>La norma richiama espressamente le discipline di settore e, in particolare, il D.Lgs. n. 150/2009, in materia di performance, e la Legge n. 190/2012, in materia di prevenzione della corruzione; ciò indica che i principi di riferimento dei rispettivi piani, i cui contenuti confluiscono nel PIAO, continueranno a governarne i contenuti. Il Piano ha durata triennale ma viene aggiornato annualmente.</w:t>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t>Le Amministrazioni devono:</w:t>
      </w:r>
    </w:p>
    <w:p>
      <w:pPr>
        <w:pStyle w:val="ListParagraph"/>
        <w:numPr>
          <w:ilvl w:val="0"/>
          <w:numId w:val="4"/>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approvare il Piano entro il 31 gennaio di ogni anno</w:t>
      </w:r>
    </w:p>
    <w:p>
      <w:pPr>
        <w:pStyle w:val="ListParagraph"/>
        <w:numPr>
          <w:ilvl w:val="0"/>
          <w:numId w:val="4"/>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pubblicarlo nel proprio sito internet istituzionale</w:t>
      </w:r>
    </w:p>
    <w:p>
      <w:pPr>
        <w:pStyle w:val="ListParagraph"/>
        <w:numPr>
          <w:ilvl w:val="0"/>
          <w:numId w:val="4"/>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inviarlo al Dipartimento della funzione pubblica della Presidenza del Consiglio dei ministri per la pubblicazione sul relativo portale.</w:t>
      </w:r>
    </w:p>
    <w:p>
      <w:pPr>
        <w:pStyle w:val="ListParagraph"/>
        <w:spacing w:lineRule="exact" w:line="260" w:before="120" w:after="0"/>
        <w:contextualSpacing/>
        <w:jc w:val="both"/>
        <w:rPr>
          <w:rFonts w:ascii="Arial" w:hAnsi="Arial" w:cs="Arial"/>
          <w:i/>
          <w:i/>
          <w:iCs/>
          <w:sz w:val="22"/>
          <w:szCs w:val="22"/>
        </w:rPr>
      </w:pPr>
      <w:r>
        <w:rPr>
          <w:rFonts w:cs="Arial" w:ascii="Arial" w:hAnsi="Arial"/>
          <w:i/>
          <w:iCs/>
          <w:sz w:val="22"/>
          <w:szCs w:val="22"/>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t xml:space="preserve">Dal punto di vista dei contenuti e delle finalità, il PIAO realizza un significativo tentativo di disegno organico del sistema pianificatorio nelle amministrazioni pubbliche ed ha il merito di aver evidenziato la molteplicità di strumenti di programmazione, spesso non dialoganti ed altrettanto spesso, per molti aspetti, sovrapposti. </w:t>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t>Inoltre, esso enfatizza un tema fondamentale: la valutazione del valore generato, delle cause e degli effetti che i meccanismi di programmazione e di pianificazione sono in grado di generare delineando, in questo modo, un filo conduttore comune tra i diversi ambiti di programmazione.</w:t>
      </w:r>
    </w:p>
    <w:p>
      <w:pPr>
        <w:pStyle w:val="Normal"/>
        <w:spacing w:lineRule="exact" w:line="260" w:before="120" w:after="0"/>
        <w:jc w:val="both"/>
        <w:rPr>
          <w:rFonts w:ascii="Arial" w:hAnsi="Arial" w:cs="Arial"/>
          <w:sz w:val="22"/>
          <w:szCs w:val="22"/>
        </w:rPr>
      </w:pPr>
      <w:r>
        <w:rPr>
          <w:rFonts w:cs="Arial" w:ascii="Arial" w:hAnsi="Arial"/>
          <w:sz w:val="22"/>
          <w:szCs w:val="22"/>
        </w:rPr>
        <w:t>Il legame logico tra gli elementi del PIAO è rappresentato dalla figura sotto riportata:</w:t>
      </w:r>
    </w:p>
    <w:p>
      <w:pPr>
        <w:pStyle w:val="Normal"/>
        <w:spacing w:lineRule="exact" w:line="260" w:before="120" w:after="0"/>
        <w:jc w:val="both"/>
        <w:rPr>
          <w:rFonts w:ascii="Arial" w:hAnsi="Arial" w:cs="Arial"/>
          <w:sz w:val="22"/>
          <w:szCs w:val="22"/>
        </w:rPr>
      </w:pPr>
      <w:r>
        <w:rPr>
          <w:rFonts w:cs="Arial" w:ascii="Arial" w:hAnsi="Arial"/>
          <w:sz w:val="22"/>
          <w:szCs w:val="22"/>
        </w:rPr>
        <w:drawing>
          <wp:anchor behindDoc="0" distT="0" distB="0" distL="0" distR="0" simplePos="0" locked="0" layoutInCell="1" allowOverlap="1" relativeHeight="4">
            <wp:simplePos x="0" y="0"/>
            <wp:positionH relativeFrom="column">
              <wp:posOffset>-34290</wp:posOffset>
            </wp:positionH>
            <wp:positionV relativeFrom="paragraph">
              <wp:posOffset>175895</wp:posOffset>
            </wp:positionV>
            <wp:extent cx="6120130" cy="2305050"/>
            <wp:effectExtent l="0" t="0" r="0" b="0"/>
            <wp:wrapNone/>
            <wp:docPr id="2"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descr=""/>
                    <pic:cNvPicPr>
                      <a:picLocks noChangeAspect="1" noChangeArrowheads="1"/>
                    </pic:cNvPicPr>
                  </pic:nvPicPr>
                  <pic:blipFill>
                    <a:blip r:embed="rId4"/>
                    <a:stretch>
                      <a:fillRect/>
                    </a:stretch>
                  </pic:blipFill>
                  <pic:spPr bwMode="auto">
                    <a:xfrm>
                      <a:off x="0" y="0"/>
                      <a:ext cx="6120130" cy="2305050"/>
                    </a:xfrm>
                    <a:prstGeom prst="rect">
                      <a:avLst/>
                    </a:prstGeom>
                  </pic:spPr>
                </pic:pic>
              </a:graphicData>
            </a:graphic>
          </wp:anchor>
        </w:drawing>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t>Dove:</w:t>
      </w:r>
    </w:p>
    <w:p>
      <w:pPr>
        <w:pStyle w:val="ListParagraph"/>
        <w:numPr>
          <w:ilvl w:val="0"/>
          <w:numId w:val="3"/>
        </w:numPr>
        <w:spacing w:lineRule="exact" w:line="260" w:before="120" w:after="0"/>
        <w:contextualSpacing/>
        <w:jc w:val="both"/>
        <w:rPr>
          <w:rFonts w:ascii="Arial" w:hAnsi="Arial" w:cs="Arial"/>
          <w:sz w:val="22"/>
          <w:szCs w:val="22"/>
        </w:rPr>
      </w:pPr>
      <w:r>
        <w:rPr>
          <w:rFonts w:cs="Arial" w:ascii="Arial" w:hAnsi="Arial"/>
          <w:b/>
          <w:bCs/>
          <w:sz w:val="22"/>
          <w:szCs w:val="22"/>
        </w:rPr>
        <w:t>le leve</w:t>
      </w:r>
      <w:r>
        <w:rPr>
          <w:rFonts w:cs="Arial" w:ascii="Arial" w:hAnsi="Arial"/>
          <w:sz w:val="22"/>
          <w:szCs w:val="22"/>
        </w:rPr>
        <w:t xml:space="preserve"> rappresentano i fattori che alimentano l’azione amministrativa e ne consentono il corretto esplicarsi nel tempo;</w:t>
      </w:r>
    </w:p>
    <w:p>
      <w:pPr>
        <w:pStyle w:val="ListParagraph"/>
        <w:numPr>
          <w:ilvl w:val="0"/>
          <w:numId w:val="3"/>
        </w:numPr>
        <w:spacing w:lineRule="exact" w:line="260" w:before="120" w:after="0"/>
        <w:contextualSpacing/>
        <w:jc w:val="both"/>
        <w:rPr>
          <w:rFonts w:ascii="Arial" w:hAnsi="Arial" w:cs="Arial"/>
          <w:sz w:val="22"/>
          <w:szCs w:val="22"/>
        </w:rPr>
      </w:pPr>
      <w:r>
        <w:rPr>
          <w:rFonts w:cs="Arial" w:ascii="Arial" w:hAnsi="Arial"/>
          <w:b/>
          <w:bCs/>
          <w:sz w:val="22"/>
          <w:szCs w:val="22"/>
        </w:rPr>
        <w:t>gli elementi di garanzia</w:t>
      </w:r>
      <w:r>
        <w:rPr>
          <w:rFonts w:cs="Arial" w:ascii="Arial" w:hAnsi="Arial"/>
          <w:sz w:val="22"/>
          <w:szCs w:val="22"/>
        </w:rPr>
        <w:t xml:space="preserve"> (PTPCT e Piano Organizzativo del Lavoro Agile) costituiscono le funzioni a salvaguardia del Valore Pubblico, sia in termini di correttezza dell’azione amministrativa sia di miglioramento e semplificazione delle modalità lavorative per l’erogazione dei servizi;</w:t>
      </w:r>
    </w:p>
    <w:p>
      <w:pPr>
        <w:pStyle w:val="ListParagraph"/>
        <w:numPr>
          <w:ilvl w:val="0"/>
          <w:numId w:val="3"/>
        </w:numPr>
        <w:spacing w:lineRule="exact" w:line="260" w:before="120" w:after="0"/>
        <w:contextualSpacing/>
        <w:jc w:val="both"/>
        <w:rPr>
          <w:rFonts w:ascii="Arial" w:hAnsi="Arial" w:cs="Arial"/>
          <w:sz w:val="22"/>
          <w:szCs w:val="22"/>
        </w:rPr>
      </w:pPr>
      <w:r>
        <w:rPr>
          <w:rFonts w:cs="Arial" w:ascii="Arial" w:hAnsi="Arial"/>
          <w:b/>
          <w:bCs/>
          <w:sz w:val="22"/>
          <w:szCs w:val="22"/>
        </w:rPr>
        <w:t>il Valore Pubblico</w:t>
      </w:r>
      <w:r>
        <w:rPr>
          <w:rFonts w:cs="Arial" w:ascii="Arial" w:hAnsi="Arial"/>
          <w:sz w:val="22"/>
          <w:szCs w:val="22"/>
        </w:rPr>
        <w:t xml:space="preserve"> rappresenta la proposizione di valore, cioè ciò che l’ente intende offrire al contesto di riferimento e che ne qualifica l’azione amministrativa e le “politiche”.</w:t>
      </w:r>
    </w:p>
    <w:p>
      <w:pPr>
        <w:pStyle w:val="NormalWeb"/>
        <w:numPr>
          <w:ilvl w:val="0"/>
          <w:numId w:val="1"/>
        </w:numPr>
        <w:spacing w:lineRule="exact" w:line="260" w:before="280" w:after="280"/>
        <w:ind w:hanging="426" w:left="426"/>
        <w:jc w:val="both"/>
        <w:rPr>
          <w:rFonts w:ascii="Arial" w:hAnsi="Arial" w:eastAsia="" w:cs="Arial" w:eastAsiaTheme="majorEastAsia"/>
          <w:i/>
          <w:i/>
          <w:color w:themeColor="accent1" w:themeShade="bf" w:val="2F5496"/>
          <w:lang w:eastAsia="en-US"/>
        </w:rPr>
      </w:pPr>
      <w:r>
        <w:rPr>
          <w:rFonts w:eastAsia="" w:cs="Arial" w:ascii="Arial" w:hAnsi="Arial" w:eastAsiaTheme="majorEastAsia"/>
          <w:i/>
          <w:color w:themeColor="accent1" w:themeShade="bf" w:val="2F5496"/>
          <w:lang w:eastAsia="en-US"/>
        </w:rPr>
        <w:t>Il PIAO del Comune di Marano sul Panaro</w:t>
      </w:r>
    </w:p>
    <w:p>
      <w:pPr>
        <w:pStyle w:val="Normal"/>
        <w:spacing w:lineRule="exact" w:line="280" w:before="120" w:after="0"/>
        <w:jc w:val="both"/>
        <w:rPr>
          <w:rFonts w:ascii="Arial" w:hAnsi="Arial" w:eastAsia="Times New Roman" w:cs="Arial"/>
          <w:sz w:val="22"/>
          <w:szCs w:val="22"/>
          <w:lang w:eastAsia="it-IT"/>
        </w:rPr>
      </w:pPr>
      <w:r>
        <w:rPr>
          <w:rFonts w:cs="Arial" w:ascii="Arial" w:hAnsi="Arial"/>
          <w:iCs/>
          <w:sz w:val="22"/>
          <w:szCs w:val="22"/>
        </w:rPr>
        <w:t>Rispetto a tale disegno sistemico complessivo, da perseguire attraverso la definizione del PIAO, il Comune</w:t>
      </w:r>
      <w:r>
        <w:rPr>
          <w:rFonts w:eastAsia="Times New Roman" w:cs="Arial" w:ascii="Arial" w:hAnsi="Arial"/>
          <w:sz w:val="22"/>
          <w:szCs w:val="22"/>
          <w:lang w:eastAsia="it-IT"/>
        </w:rPr>
        <w:t xml:space="preserve"> in quanto ente con un numero di dipendenti inferiore a 50 unità è tenuto a redigere il PIAO in forma semplificata, ai sensi dell’art. 6 del Decreto Ministeriale del 24 giugno 2022, adottato dal Ministro per la Pubblica amministrazione, di concerto con il Ministro dell’Economia e delle Finanze, secondo il Piano – tipo allegato al provvedimento.</w:t>
      </w:r>
    </w:p>
    <w:p>
      <w:pPr>
        <w:pStyle w:val="Normal"/>
        <w:spacing w:lineRule="exact" w:line="28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t>Pertanto rispetto ai contenuti previsti per il PIAO ordinario, il presente documento avrà la struttura di seguito rappresentata:</w:t>
      </w:r>
    </w:p>
    <w:p>
      <w:pPr>
        <w:pStyle w:val="ListParagraph"/>
        <w:numPr>
          <w:ilvl w:val="0"/>
          <w:numId w:val="5"/>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Sezione 1) Scheda Anagrafica dell’Amministrazione</w:t>
      </w:r>
    </w:p>
    <w:p>
      <w:pPr>
        <w:pStyle w:val="ListParagraph"/>
        <w:numPr>
          <w:ilvl w:val="0"/>
          <w:numId w:val="5"/>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Sezione 2) limitatamente alla sola sotto-sezione 2.3 Rischi corruttivi e Trasparenza</w:t>
      </w:r>
    </w:p>
    <w:p>
      <w:pPr>
        <w:pStyle w:val="ListParagraph"/>
        <w:numPr>
          <w:ilvl w:val="0"/>
          <w:numId w:val="5"/>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Sezione 3) Organizzazione e Capitale Umano</w:t>
      </w:r>
    </w:p>
    <w:p>
      <w:pPr>
        <w:pStyle w:val="ListParagraph"/>
        <w:numPr>
          <w:ilvl w:val="0"/>
          <w:numId w:val="5"/>
        </w:numPr>
        <w:spacing w:lineRule="exact" w:line="260" w:before="120" w:after="0"/>
        <w:ind w:hanging="357" w:left="714"/>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Sezione 4) Monitoraggio (non obbligatorio nello schema semplificato)</w:t>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t xml:space="preserve">Attraverso la redazione del PIAO in forma semplificata, il Comune attua comunque un processo, seppur più limitato in termini di aree coinvolte, di integrazione del sistema pianificatorio finalizzato a rendere dialoganti e coerenti i previgenti strumenti di programmazione settoriale. </w:t>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pacing w:lineRule="exact" w:line="260" w:before="120" w:after="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Titolo11"/>
        <w:numPr>
          <w:ilvl w:val="0"/>
          <w:numId w:val="2"/>
        </w:numPr>
        <w:ind w:hanging="426" w:left="426"/>
        <w:rPr>
          <w:rFonts w:ascii="Arial" w:hAnsi="Arial" w:cs="Arial"/>
          <w:sz w:val="28"/>
          <w:szCs w:val="28"/>
        </w:rPr>
      </w:pPr>
      <w:bookmarkStart w:id="2" w:name="_Toc188008151"/>
      <w:r>
        <w:rPr>
          <w:rFonts w:cs="Arial" w:ascii="Arial" w:hAnsi="Arial"/>
          <w:sz w:val="28"/>
          <w:szCs w:val="28"/>
        </w:rPr>
        <w:t>SEZIONE: SCHEDA ANAGRAFICA DELL’AMMINISTRAZIONE</w:t>
      </w:r>
      <w:bookmarkEnd w:id="2"/>
    </w:p>
    <w:p>
      <w:pPr>
        <w:pStyle w:val="Normal"/>
        <w:rPr>
          <w:rFonts w:ascii="Arial" w:hAnsi="Arial" w:cs="Arial"/>
        </w:rPr>
      </w:pPr>
      <w:r>
        <w:rPr>
          <w:rFonts w:cs="Arial" w:ascii="Arial" w:hAnsi="Arial"/>
        </w:rPr>
      </w:r>
    </w:p>
    <w:p>
      <w:pPr>
        <w:pStyle w:val="Titolo21"/>
        <w:numPr>
          <w:ilvl w:val="1"/>
          <w:numId w:val="2"/>
        </w:numPr>
        <w:ind w:hanging="567" w:left="567"/>
        <w:rPr/>
      </w:pPr>
      <w:bookmarkStart w:id="3" w:name="_Toc188008152"/>
      <w:r>
        <w:rPr/>
        <w:t>Scheda Anagrafica</w:t>
      </w:r>
      <w:bookmarkEnd w:id="3"/>
    </w:p>
    <w:p>
      <w:pPr>
        <w:pStyle w:val="Normal"/>
        <w:spacing w:lineRule="exact" w:line="260" w:before="120" w:after="0"/>
        <w:rPr>
          <w:rFonts w:ascii="Arial" w:hAnsi="Arial" w:cs="Arial"/>
          <w:sz w:val="22"/>
          <w:szCs w:val="22"/>
        </w:rPr>
      </w:pPr>
      <w:r>
        <w:rPr>
          <w:rFonts w:cs="Arial" w:ascii="Arial" w:hAnsi="Arial"/>
          <w:sz w:val="22"/>
          <w:szCs w:val="22"/>
        </w:rPr>
        <w:t xml:space="preserve">Denominazione Ente: Comune di Marano sul Panaro </w:t>
      </w:r>
    </w:p>
    <w:p>
      <w:pPr>
        <w:pStyle w:val="Normal"/>
        <w:spacing w:lineRule="exact" w:line="260" w:before="120" w:after="0"/>
        <w:rPr>
          <w:rFonts w:ascii="Arial" w:hAnsi="Arial" w:cs="Arial"/>
          <w:sz w:val="22"/>
          <w:szCs w:val="22"/>
        </w:rPr>
      </w:pPr>
      <w:r>
        <w:rPr>
          <w:rFonts w:cs="Arial" w:ascii="Arial" w:hAnsi="Arial"/>
          <w:sz w:val="22"/>
          <w:szCs w:val="22"/>
        </w:rPr>
        <w:t>Indirizzo: Piazza Matteotti 17 – 41054, Marano sul Panaro (MO)</w:t>
      </w:r>
    </w:p>
    <w:p>
      <w:pPr>
        <w:pStyle w:val="Normal"/>
        <w:spacing w:lineRule="exact" w:line="260" w:before="120" w:after="0"/>
        <w:rPr>
          <w:rFonts w:ascii="Arial" w:hAnsi="Arial" w:cs="Arial"/>
          <w:sz w:val="22"/>
          <w:szCs w:val="22"/>
          <w:highlight w:val="yellow"/>
          <w:lang w:val="fr-FR"/>
        </w:rPr>
      </w:pPr>
      <w:r>
        <w:rPr>
          <w:rFonts w:cs="Arial" w:ascii="Arial" w:hAnsi="Arial"/>
          <w:sz w:val="22"/>
          <w:szCs w:val="22"/>
          <w:lang w:val="fr-FR"/>
        </w:rPr>
        <w:t>PEC:</w:t>
      </w:r>
      <w:hyperlink r:id="rId5">
        <w:r>
          <w:rPr>
            <w:rStyle w:val="Hyperlink"/>
            <w:rFonts w:cs="Arial" w:ascii="Arial" w:hAnsi="Arial"/>
            <w:color w:themeColor="accent1" w:themeShade="bf" w:val="2F5496"/>
            <w:sz w:val="22"/>
            <w:szCs w:val="22"/>
            <w:lang w:val="fr-FR"/>
          </w:rPr>
          <w:t>comune.marano@cert.comune.marano-sul-panaro.mo.it</w:t>
        </w:r>
      </w:hyperlink>
    </w:p>
    <w:p>
      <w:pPr>
        <w:pStyle w:val="Normal"/>
        <w:spacing w:lineRule="exact" w:line="260" w:before="120" w:after="0"/>
        <w:rPr>
          <w:rFonts w:ascii="Arial" w:hAnsi="Arial" w:cs="Arial"/>
          <w:sz w:val="22"/>
          <w:szCs w:val="22"/>
        </w:rPr>
      </w:pPr>
      <w:r>
        <w:rPr>
          <w:rFonts w:cs="Arial" w:ascii="Arial" w:hAnsi="Arial"/>
          <w:sz w:val="22"/>
          <w:szCs w:val="22"/>
        </w:rPr>
        <w:t xml:space="preserve">Partita Iva e Codice Fiscale: 00675950364 </w:t>
      </w:r>
    </w:p>
    <w:p>
      <w:pPr>
        <w:pStyle w:val="Normal"/>
        <w:spacing w:lineRule="exact" w:line="260" w:before="120" w:after="0"/>
        <w:rPr>
          <w:rFonts w:ascii="Arial" w:hAnsi="Arial" w:cs="Arial"/>
          <w:sz w:val="22"/>
          <w:szCs w:val="22"/>
        </w:rPr>
      </w:pPr>
      <w:r>
        <w:rPr>
          <w:rFonts w:cs="Arial" w:ascii="Arial" w:hAnsi="Arial"/>
          <w:sz w:val="22"/>
          <w:szCs w:val="22"/>
        </w:rPr>
        <w:t>Codice Istat: 036020</w:t>
      </w:r>
    </w:p>
    <w:p>
      <w:pPr>
        <w:pStyle w:val="Normal"/>
        <w:spacing w:lineRule="exact" w:line="260" w:before="120" w:after="0"/>
        <w:rPr>
          <w:rFonts w:ascii="Arial" w:hAnsi="Arial" w:cs="Arial"/>
          <w:sz w:val="22"/>
          <w:szCs w:val="22"/>
        </w:rPr>
      </w:pPr>
      <w:r>
        <w:rPr>
          <w:rFonts w:cs="Arial" w:ascii="Arial" w:hAnsi="Arial"/>
          <w:sz w:val="22"/>
          <w:szCs w:val="22"/>
        </w:rPr>
        <w:t xml:space="preserve">Sito web istituzionale: </w:t>
      </w:r>
      <w:r>
        <w:rPr>
          <w:rStyle w:val="Hyperlink"/>
          <w:rFonts w:cs="Arial" w:ascii="Arial" w:hAnsi="Arial"/>
          <w:color w:themeColor="accent1" w:themeShade="bf" w:val="2F5496"/>
          <w:sz w:val="22"/>
          <w:szCs w:val="22"/>
        </w:rPr>
        <w:t>www.comune.marano.mo.it</w:t>
      </w:r>
    </w:p>
    <w:p>
      <w:pPr>
        <w:pStyle w:val="Normal"/>
        <w:jc w:val="both"/>
        <w:rPr>
          <w:rFonts w:ascii="Arial" w:hAnsi="Arial" w:cs="Arial"/>
        </w:rPr>
      </w:pPr>
      <w:r>
        <w:rPr>
          <w:rFonts w:cs="Arial" w:ascii="Arial" w:hAnsi="Arial"/>
        </w:rPr>
      </w:r>
    </w:p>
    <w:p>
      <w:pPr>
        <w:pStyle w:val="Titolo21"/>
        <w:numPr>
          <w:ilvl w:val="1"/>
          <w:numId w:val="2"/>
        </w:numPr>
        <w:ind w:hanging="567" w:left="567"/>
        <w:rPr/>
      </w:pPr>
      <w:bookmarkStart w:id="4" w:name="_Toc188008153"/>
      <w:r>
        <w:rPr/>
        <w:t>Presentazione del Comune</w:t>
      </w:r>
      <w:bookmarkEnd w:id="4"/>
    </w:p>
    <w:p>
      <w:pPr>
        <w:pStyle w:val="Normal"/>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exact" w:line="280" w:before="120" w:after="0"/>
        <w:jc w:val="both"/>
        <w:rPr>
          <w:rFonts w:ascii="Arial" w:hAnsi="Arial" w:cs="Arial"/>
          <w:bCs/>
          <w:sz w:val="22"/>
          <w:szCs w:val="22"/>
        </w:rPr>
      </w:pPr>
      <w:r>
        <w:rPr>
          <w:rFonts w:cs="Arial" w:ascii="Arial" w:hAnsi="Arial"/>
          <w:b/>
          <w:sz w:val="22"/>
          <w:szCs w:val="22"/>
        </w:rPr>
        <w:t>Marano sul Panaro</w:t>
      </w:r>
      <w:r>
        <w:rPr>
          <w:rFonts w:cs="Arial" w:ascii="Arial" w:hAnsi="Arial"/>
          <w:sz w:val="22"/>
          <w:szCs w:val="22"/>
        </w:rPr>
        <w:t xml:space="preserve"> è un Comune italiano della provincia di Modena, in Emilia-Romagna, con popolazione di 5.289 abitanti (dato al 31/12/2024). Il capoluogo si estende sulle prime colline della provincia modenese, sulla sponda sinistra del fiume Panaro, che divide il paese dai comuni limitrofi di Savignano sul Panaro e Guiglia. L'abitato si sviluppa per la maggior parte nell'unica zona pianeggiante del territorio comunale mentre il resto del Comune, frazioni incluse, è situato in territorio collinare, a soli 5 chilometri da Vignola, a 25 chilometri a sud dal capoluogo di provincia Modena ed a 35 chilometri dal capoluogo regionale Bologna.</w:t>
      </w:r>
    </w:p>
    <w:p>
      <w:pPr>
        <w:pStyle w:val="Standard"/>
        <w:tabs>
          <w:tab w:val="clear" w:pos="720"/>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exact" w:line="280" w:before="120" w:after="0"/>
        <w:jc w:val="both"/>
        <w:rPr>
          <w:rFonts w:ascii="Arial" w:hAnsi="Arial" w:cs="Arial"/>
          <w:bCs/>
          <w:sz w:val="22"/>
          <w:szCs w:val="22"/>
        </w:rPr>
      </w:pPr>
      <w:r>
        <w:rPr>
          <w:rFonts w:cs="Arial" w:ascii="Arial" w:hAnsi="Arial"/>
          <w:sz w:val="22"/>
          <w:szCs w:val="22"/>
        </w:rPr>
        <w:t>Insiste su un’area complessiva di 45</w:t>
      </w:r>
      <w:r>
        <w:rPr>
          <w:rFonts w:cs="Calibri" w:ascii="Arial" w:hAnsi="Arial"/>
          <w:kern w:val="0"/>
          <w:sz w:val="22"/>
          <w:szCs w:val="22"/>
          <w:lang w:eastAsia="en-US" w:bidi="hi-IN"/>
        </w:rPr>
        <w:t>,47 Kmq rientrante nella provincia di Modena</w:t>
      </w:r>
      <w:r>
        <w:rPr>
          <w:rFonts w:cs="Arial" w:ascii="Arial" w:hAnsi="Arial"/>
          <w:bCs/>
          <w:kern w:val="0"/>
          <w:sz w:val="22"/>
          <w:szCs w:val="22"/>
          <w:lang w:eastAsia="en-US" w:bidi="hi-IN"/>
        </w:rPr>
        <w:t xml:space="preserve">. </w:t>
      </w:r>
      <w:r>
        <w:rPr>
          <w:rFonts w:cs="Arial" w:ascii="Arial" w:hAnsi="Arial"/>
          <w:bCs/>
          <w:sz w:val="22"/>
          <w:szCs w:val="22"/>
        </w:rPr>
        <w:t xml:space="preserve">La popolazione complessiva del Comune è di poco superiore ai 5.300 abitanti, con una densità abitativa di circa 116,31 </w:t>
      </w:r>
      <w:r>
        <w:rPr>
          <w:rFonts w:cs="Arial" w:ascii="Arial" w:hAnsi="Arial"/>
          <w:sz w:val="22"/>
          <w:szCs w:val="22"/>
        </w:rPr>
        <w:t>ab/kmq.</w:t>
      </w:r>
    </w:p>
    <w:p>
      <w:pPr>
        <w:pStyle w:val="Normal"/>
        <w:spacing w:lineRule="exact" w:line="260" w:before="120" w:after="0"/>
        <w:jc w:val="both"/>
        <w:rPr>
          <w:rFonts w:ascii="Arial" w:hAnsi="Arial" w:cs="Arial"/>
          <w:sz w:val="22"/>
          <w:szCs w:val="22"/>
        </w:rPr>
      </w:pPr>
      <w:r>
        <w:rPr>
          <w:rFonts w:cs="Arial" w:ascii="Arial" w:hAnsi="Arial"/>
          <w:sz w:val="22"/>
          <w:szCs w:val="22"/>
        </w:rPr>
        <w:t xml:space="preserve">Alla data del 31/12/2025 il personale in servizio contava 15,35 unità, oltre ad </w:t>
      </w:r>
      <w:r>
        <w:rPr>
          <w:rFonts w:eastAsia="Times New Roman" w:cs="Arial" w:ascii="Arial" w:hAnsi="Arial"/>
          <w:sz w:val="22"/>
          <w:szCs w:val="22"/>
          <w:lang w:eastAsia="it-IT"/>
        </w:rPr>
        <w:t>1 unità in convenzione con altro Ente assunta ex art. 110, comma 1, TUEL</w:t>
      </w:r>
      <w:r>
        <w:rPr>
          <w:rFonts w:cs="Arial" w:ascii="Arial" w:hAnsi="Arial"/>
          <w:sz w:val="22"/>
          <w:szCs w:val="22"/>
        </w:rPr>
        <w:t>, ripartito come nella tabella seguente:</w:t>
      </w:r>
    </w:p>
    <w:p>
      <w:pPr>
        <w:pStyle w:val="Normal"/>
        <w:rPr>
          <w:rFonts w:ascii="Arial" w:hAnsi="Arial" w:cs="Arial"/>
          <w:sz w:val="22"/>
          <w:szCs w:val="22"/>
        </w:rPr>
      </w:pPr>
      <w:r>
        <w:rPr>
          <w:rFonts w:cs="Arial" w:ascii="Arial" w:hAnsi="Arial"/>
          <w:sz w:val="22"/>
          <w:szCs w:val="22"/>
        </w:rPr>
      </w:r>
    </w:p>
    <w:tbl>
      <w:tblPr>
        <w:tblW w:w="9590" w:type="dxa"/>
        <w:jc w:val="left"/>
        <w:tblInd w:w="280" w:type="dxa"/>
        <w:tblLayout w:type="fixed"/>
        <w:tblCellMar>
          <w:top w:w="0" w:type="dxa"/>
          <w:left w:w="65" w:type="dxa"/>
          <w:bottom w:w="0" w:type="dxa"/>
          <w:right w:w="70" w:type="dxa"/>
        </w:tblCellMar>
        <w:tblLook w:val="04a0"/>
      </w:tblPr>
      <w:tblGrid>
        <w:gridCol w:w="1840"/>
        <w:gridCol w:w="2835"/>
        <w:gridCol w:w="4915"/>
      </w:tblGrid>
      <w:tr>
        <w:trPr>
          <w:trHeight w:val="449" w:hRule="atLeast"/>
        </w:trPr>
        <w:tc>
          <w:tcPr>
            <w:tcW w:w="9590"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rFonts w:ascii="Arial" w:hAnsi="Arial" w:eastAsia="Times New Roman" w:cs="Arial"/>
                <w:sz w:val="22"/>
                <w:szCs w:val="22"/>
                <w:lang w:eastAsia="it-IT"/>
              </w:rPr>
            </w:pPr>
            <w:r>
              <w:rPr>
                <w:rFonts w:cs="Arial" w:ascii="Arial" w:hAnsi="Arial"/>
                <w:b/>
                <w:bCs/>
                <w:sz w:val="22"/>
                <w:szCs w:val="22"/>
              </w:rPr>
              <w:t>PERSONALE IN SERVIZIO AL 31.12.2025</w:t>
            </w:r>
          </w:p>
        </w:tc>
      </w:tr>
      <w:tr>
        <w:trPr>
          <w:trHeight w:val="449" w:hRule="atLeast"/>
        </w:trPr>
        <w:tc>
          <w:tcPr>
            <w:tcW w:w="184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rFonts w:ascii="Arial" w:hAnsi="Arial" w:eastAsia="Times New Roman" w:cs="Arial"/>
                <w:sz w:val="20"/>
                <w:szCs w:val="20"/>
                <w:lang w:eastAsia="it-IT"/>
              </w:rPr>
            </w:pPr>
            <w:r>
              <w:rPr>
                <w:rFonts w:eastAsia="Times New Roman" w:cs="Arial" w:ascii="Arial" w:hAnsi="Arial"/>
                <w:sz w:val="20"/>
                <w:szCs w:val="20"/>
                <w:lang w:eastAsia="it-IT"/>
              </w:rPr>
              <w:t>AREA</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rFonts w:ascii="Arial" w:hAnsi="Arial" w:eastAsia="Times New Roman" w:cs="Arial"/>
                <w:sz w:val="20"/>
                <w:szCs w:val="20"/>
                <w:lang w:eastAsia="it-IT"/>
              </w:rPr>
            </w:pPr>
            <w:r>
              <w:rPr>
                <w:rFonts w:cs="Arial" w:ascii="Arial" w:hAnsi="Arial"/>
                <w:b/>
                <w:bCs/>
                <w:sz w:val="20"/>
                <w:szCs w:val="20"/>
              </w:rPr>
              <w:t>DIPENDENTI IN SERVIZIO</w:t>
            </w:r>
          </w:p>
        </w:tc>
        <w:tc>
          <w:tcPr>
            <w:tcW w:w="49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rFonts w:ascii="Arial" w:hAnsi="Arial" w:cs="Arial"/>
                <w:b/>
                <w:bCs/>
                <w:sz w:val="20"/>
                <w:szCs w:val="20"/>
              </w:rPr>
            </w:pPr>
            <w:r>
              <w:rPr>
                <w:rFonts w:cs="Arial" w:ascii="Arial" w:hAnsi="Arial"/>
                <w:b/>
                <w:bCs/>
                <w:sz w:val="20"/>
                <w:szCs w:val="20"/>
              </w:rPr>
              <w:t>PROFILO PROFESSIONALE</w:t>
            </w:r>
          </w:p>
        </w:tc>
      </w:tr>
      <w:tr>
        <w:trPr>
          <w:trHeight w:val="388" w:hRule="atLeast"/>
        </w:trPr>
        <w:tc>
          <w:tcPr>
            <w:tcW w:w="184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rFonts w:ascii="Arial" w:hAnsi="Arial" w:eastAsia="Times New Roman" w:cs="Arial"/>
                <w:sz w:val="22"/>
                <w:szCs w:val="22"/>
                <w:lang w:eastAsia="it-IT"/>
              </w:rPr>
            </w:pPr>
            <w:r>
              <w:rPr>
                <w:rFonts w:eastAsia="Times New Roman" w:cs="Arial" w:ascii="Arial" w:hAnsi="Arial"/>
                <w:sz w:val="22"/>
                <w:szCs w:val="22"/>
                <w:lang w:eastAsia="it-IT"/>
              </w:rPr>
              <w:t>Operatori esperti</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rFonts w:ascii="Arial" w:hAnsi="Arial" w:eastAsia="Times New Roman" w:cs="Arial"/>
                <w:sz w:val="22"/>
                <w:szCs w:val="22"/>
                <w:lang w:eastAsia="it-IT"/>
              </w:rPr>
            </w:pPr>
            <w:r>
              <w:rPr>
                <w:rFonts w:eastAsia="Times New Roman" w:cs="Arial" w:ascii="Arial" w:hAnsi="Arial"/>
                <w:sz w:val="22"/>
                <w:szCs w:val="22"/>
                <w:lang w:eastAsia="it-IT"/>
              </w:rPr>
              <w:t>3,35</w:t>
            </w:r>
          </w:p>
        </w:tc>
        <w:tc>
          <w:tcPr>
            <w:tcW w:w="49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rPr>
                <w:rFonts w:ascii="Arial" w:hAnsi="Arial" w:eastAsia="Times New Roman" w:cs="Arial"/>
                <w:sz w:val="22"/>
                <w:szCs w:val="22"/>
                <w:lang w:eastAsia="it-IT"/>
              </w:rPr>
            </w:pPr>
            <w:r>
              <w:rPr>
                <w:rFonts w:eastAsia="Times New Roman" w:cs="Arial" w:ascii="Arial" w:hAnsi="Arial"/>
                <w:sz w:val="22"/>
                <w:szCs w:val="22"/>
                <w:lang w:eastAsia="it-IT"/>
              </w:rPr>
              <w:t>Di cui:</w:t>
            </w:r>
          </w:p>
          <w:p>
            <w:pPr>
              <w:pStyle w:val="ListParagraph"/>
              <w:numPr>
                <w:ilvl w:val="0"/>
                <w:numId w:val="5"/>
              </w:numPr>
              <w:rPr>
                <w:rFonts w:ascii="Arial" w:hAnsi="Arial" w:eastAsia="Times New Roman" w:cs="Arial"/>
                <w:sz w:val="22"/>
                <w:szCs w:val="22"/>
                <w:lang w:eastAsia="it-IT"/>
              </w:rPr>
            </w:pPr>
            <w:r>
              <w:rPr>
                <w:rFonts w:eastAsia="Times New Roman" w:cs="Arial" w:ascii="Arial" w:hAnsi="Arial"/>
                <w:sz w:val="22"/>
                <w:szCs w:val="22"/>
                <w:lang w:eastAsia="it-IT"/>
              </w:rPr>
              <w:t>1 Collaboratore amministrativo</w:t>
            </w:r>
          </w:p>
          <w:p>
            <w:pPr>
              <w:pStyle w:val="ListParagraph"/>
              <w:numPr>
                <w:ilvl w:val="0"/>
                <w:numId w:val="5"/>
              </w:numPr>
              <w:rPr>
                <w:rFonts w:ascii="Arial" w:hAnsi="Arial" w:eastAsia="Times New Roman" w:cs="Arial"/>
                <w:sz w:val="22"/>
                <w:szCs w:val="22"/>
                <w:lang w:eastAsia="it-IT"/>
              </w:rPr>
            </w:pPr>
            <w:r>
              <w:rPr>
                <w:rFonts w:eastAsia="Times New Roman" w:cs="Arial" w:ascii="Arial" w:hAnsi="Arial"/>
                <w:sz w:val="22"/>
                <w:szCs w:val="22"/>
                <w:lang w:eastAsia="it-IT"/>
              </w:rPr>
              <w:t>1 Collaboratore tecnico</w:t>
            </w:r>
          </w:p>
          <w:p>
            <w:pPr>
              <w:pStyle w:val="ListParagraph"/>
              <w:numPr>
                <w:ilvl w:val="0"/>
                <w:numId w:val="5"/>
              </w:numPr>
              <w:rPr>
                <w:rFonts w:ascii="Arial" w:hAnsi="Arial" w:eastAsia="Times New Roman" w:cs="Arial"/>
                <w:sz w:val="22"/>
                <w:szCs w:val="22"/>
                <w:lang w:eastAsia="it-IT"/>
              </w:rPr>
            </w:pPr>
            <w:r>
              <w:rPr>
                <w:rFonts w:eastAsia="Times New Roman" w:cs="Arial" w:ascii="Arial" w:hAnsi="Arial"/>
                <w:sz w:val="22"/>
                <w:szCs w:val="22"/>
                <w:lang w:eastAsia="it-IT"/>
              </w:rPr>
              <w:t>1 Collaboratore conducente MOC</w:t>
            </w:r>
          </w:p>
          <w:p>
            <w:pPr>
              <w:pStyle w:val="ListParagraph"/>
              <w:numPr>
                <w:ilvl w:val="0"/>
                <w:numId w:val="5"/>
              </w:numPr>
              <w:spacing w:before="0" w:after="200"/>
              <w:contextualSpacing/>
              <w:rPr>
                <w:rFonts w:ascii="Arial" w:hAnsi="Arial" w:eastAsia="Times New Roman" w:cs="Arial"/>
                <w:sz w:val="22"/>
                <w:szCs w:val="22"/>
                <w:lang w:eastAsia="it-IT"/>
              </w:rPr>
            </w:pPr>
            <w:r>
              <w:rPr>
                <w:rFonts w:eastAsia="Times New Roman" w:cs="Arial" w:ascii="Arial" w:hAnsi="Arial"/>
                <w:sz w:val="22"/>
                <w:szCs w:val="22"/>
                <w:lang w:eastAsia="it-IT"/>
              </w:rPr>
              <w:t>1 Collaboratore ausiliario nella misura del 35,29%</w:t>
            </w:r>
          </w:p>
        </w:tc>
      </w:tr>
      <w:tr>
        <w:trPr>
          <w:trHeight w:val="209" w:hRule="atLeast"/>
        </w:trPr>
        <w:tc>
          <w:tcPr>
            <w:tcW w:w="184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rFonts w:ascii="Arial" w:hAnsi="Arial" w:eastAsia="Times New Roman" w:cs="Arial"/>
                <w:sz w:val="22"/>
                <w:szCs w:val="22"/>
                <w:lang w:eastAsia="it-IT"/>
              </w:rPr>
            </w:pPr>
            <w:r>
              <w:rPr>
                <w:rFonts w:eastAsia="Times New Roman" w:cs="Arial" w:ascii="Arial" w:hAnsi="Arial"/>
                <w:sz w:val="22"/>
                <w:szCs w:val="22"/>
                <w:lang w:eastAsia="it-IT"/>
              </w:rPr>
              <w:t>Istruttori</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rFonts w:ascii="Arial" w:hAnsi="Arial" w:eastAsia="Times New Roman" w:cs="Arial"/>
                <w:sz w:val="22"/>
                <w:szCs w:val="22"/>
                <w:lang w:eastAsia="it-IT"/>
              </w:rPr>
            </w:pPr>
            <w:r>
              <w:rPr>
                <w:rFonts w:eastAsia="Times New Roman" w:cs="Arial" w:ascii="Arial" w:hAnsi="Arial"/>
                <w:sz w:val="22"/>
                <w:szCs w:val="22"/>
                <w:lang w:eastAsia="it-IT"/>
              </w:rPr>
              <w:t>8</w:t>
            </w:r>
          </w:p>
        </w:tc>
        <w:tc>
          <w:tcPr>
            <w:tcW w:w="49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pacing w:before="120" w:after="120"/>
              <w:rPr>
                <w:rFonts w:ascii="Arial" w:hAnsi="Arial" w:eastAsia="Times New Roman" w:cs="Arial"/>
                <w:sz w:val="22"/>
                <w:szCs w:val="22"/>
                <w:lang w:eastAsia="it-IT"/>
              </w:rPr>
            </w:pPr>
            <w:r>
              <w:rPr>
                <w:rFonts w:eastAsia="Times New Roman" w:cs="Arial" w:ascii="Arial" w:hAnsi="Arial"/>
                <w:sz w:val="22"/>
                <w:szCs w:val="22"/>
                <w:lang w:eastAsia="it-IT"/>
              </w:rPr>
              <w:t>Di cui:</w:t>
            </w:r>
          </w:p>
          <w:p>
            <w:pPr>
              <w:pStyle w:val="ListParagraph"/>
              <w:numPr>
                <w:ilvl w:val="0"/>
                <w:numId w:val="3"/>
              </w:numPr>
              <w:spacing w:before="120" w:after="120"/>
              <w:ind w:hanging="425" w:left="497"/>
              <w:contextualSpacing/>
              <w:rPr>
                <w:rFonts w:ascii="Arial" w:hAnsi="Arial" w:eastAsia="Times New Roman" w:cs="Arial"/>
                <w:sz w:val="22"/>
                <w:szCs w:val="22"/>
                <w:lang w:eastAsia="it-IT"/>
              </w:rPr>
            </w:pPr>
            <w:r>
              <w:rPr>
                <w:rFonts w:eastAsia="Times New Roman" w:cs="Arial" w:ascii="Arial" w:hAnsi="Arial"/>
                <w:sz w:val="22"/>
                <w:szCs w:val="22"/>
                <w:lang w:eastAsia="it-IT"/>
              </w:rPr>
              <w:t>6     Istruttori amministrativi e/o contabili (di cui 1 p.time 83,33%)</w:t>
            </w:r>
          </w:p>
          <w:p>
            <w:pPr>
              <w:pStyle w:val="ListParagraph"/>
              <w:numPr>
                <w:ilvl w:val="0"/>
                <w:numId w:val="3"/>
              </w:numPr>
              <w:spacing w:before="120" w:after="120"/>
              <w:ind w:hanging="425" w:left="497"/>
              <w:contextualSpacing/>
              <w:rPr>
                <w:rFonts w:ascii="Arial" w:hAnsi="Arial" w:eastAsia="Times New Roman" w:cs="Arial"/>
                <w:sz w:val="22"/>
                <w:szCs w:val="22"/>
                <w:lang w:eastAsia="it-IT"/>
              </w:rPr>
            </w:pPr>
            <w:r>
              <w:rPr>
                <w:rFonts w:eastAsia="Times New Roman" w:cs="Arial" w:ascii="Arial" w:hAnsi="Arial"/>
                <w:sz w:val="22"/>
                <w:szCs w:val="22"/>
                <w:lang w:eastAsia="it-IT"/>
              </w:rPr>
              <w:t>2     Istruttori tecnici</w:t>
            </w:r>
          </w:p>
        </w:tc>
      </w:tr>
      <w:tr>
        <w:trPr>
          <w:trHeight w:val="209" w:hRule="atLeast"/>
        </w:trPr>
        <w:tc>
          <w:tcPr>
            <w:tcW w:w="184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rFonts w:ascii="Arial" w:hAnsi="Arial" w:eastAsia="Times New Roman" w:cs="Arial"/>
                <w:sz w:val="22"/>
                <w:szCs w:val="22"/>
                <w:lang w:eastAsia="it-IT"/>
              </w:rPr>
            </w:pPr>
            <w:r>
              <w:rPr>
                <w:rFonts w:eastAsia="Times New Roman" w:cs="Arial" w:ascii="Arial" w:hAnsi="Arial"/>
                <w:sz w:val="22"/>
                <w:szCs w:val="22"/>
                <w:lang w:eastAsia="it-IT"/>
              </w:rPr>
              <w:t>Funzionari</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jc w:val="center"/>
              <w:rPr>
                <w:rFonts w:ascii="Arial" w:hAnsi="Arial" w:eastAsia="Times New Roman" w:cs="Arial"/>
                <w:sz w:val="22"/>
                <w:szCs w:val="22"/>
                <w:lang w:eastAsia="it-IT"/>
              </w:rPr>
            </w:pPr>
            <w:r>
              <w:rPr>
                <w:rFonts w:eastAsia="Times New Roman" w:cs="Arial" w:ascii="Arial" w:hAnsi="Arial"/>
                <w:sz w:val="22"/>
                <w:szCs w:val="22"/>
                <w:lang w:eastAsia="it-IT"/>
              </w:rPr>
              <w:t>5</w:t>
            </w:r>
          </w:p>
        </w:tc>
        <w:tc>
          <w:tcPr>
            <w:tcW w:w="49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pacing w:before="120" w:after="120"/>
              <w:rPr>
                <w:rFonts w:ascii="Arial" w:hAnsi="Arial" w:eastAsia="Times New Roman" w:cs="Arial"/>
                <w:sz w:val="22"/>
                <w:szCs w:val="22"/>
                <w:lang w:eastAsia="it-IT"/>
              </w:rPr>
            </w:pPr>
            <w:r>
              <w:rPr>
                <w:rFonts w:eastAsia="Times New Roman" w:cs="Arial" w:ascii="Arial" w:hAnsi="Arial"/>
                <w:sz w:val="22"/>
                <w:szCs w:val="22"/>
                <w:lang w:eastAsia="it-IT"/>
              </w:rPr>
              <w:t>Di cui:</w:t>
            </w:r>
          </w:p>
          <w:p>
            <w:pPr>
              <w:pStyle w:val="ListParagraph"/>
              <w:numPr>
                <w:ilvl w:val="0"/>
                <w:numId w:val="3"/>
              </w:numPr>
              <w:spacing w:before="120" w:after="120"/>
              <w:ind w:hanging="425" w:left="497"/>
              <w:contextualSpacing/>
              <w:rPr>
                <w:rFonts w:ascii="Arial" w:hAnsi="Arial" w:eastAsia="Times New Roman" w:cs="Arial"/>
                <w:sz w:val="22"/>
                <w:szCs w:val="22"/>
                <w:lang w:eastAsia="it-IT"/>
              </w:rPr>
            </w:pPr>
            <w:r>
              <w:rPr>
                <w:rFonts w:eastAsia="Times New Roman" w:cs="Arial" w:ascii="Arial" w:hAnsi="Arial"/>
                <w:sz w:val="22"/>
                <w:szCs w:val="22"/>
                <w:lang w:eastAsia="it-IT"/>
              </w:rPr>
              <w:t>3   Istruttori direttivi amministrativi e/o contabili(di cui uno a tempo parziale in quanto condiviso con altra P.A.)</w:t>
            </w:r>
          </w:p>
          <w:p>
            <w:pPr>
              <w:pStyle w:val="ListParagraph"/>
              <w:numPr>
                <w:ilvl w:val="0"/>
                <w:numId w:val="3"/>
              </w:numPr>
              <w:spacing w:before="120" w:after="120"/>
              <w:ind w:hanging="425" w:left="497"/>
              <w:contextualSpacing/>
              <w:rPr>
                <w:rFonts w:ascii="Arial" w:hAnsi="Arial" w:eastAsia="Times New Roman" w:cs="Arial"/>
                <w:sz w:val="22"/>
                <w:szCs w:val="22"/>
                <w:lang w:eastAsia="it-IT"/>
              </w:rPr>
            </w:pPr>
            <w:r>
              <w:rPr>
                <w:rFonts w:eastAsia="Times New Roman" w:cs="Arial" w:ascii="Arial" w:hAnsi="Arial"/>
                <w:sz w:val="22"/>
                <w:szCs w:val="22"/>
                <w:lang w:eastAsia="it-IT"/>
              </w:rPr>
              <w:t>1    Istruttore direttivo tecnico</w:t>
            </w:r>
          </w:p>
        </w:tc>
      </w:tr>
    </w:tbl>
    <w:p>
      <w:pPr>
        <w:pStyle w:val="Normal"/>
        <w:spacing w:lineRule="exact" w:line="280" w:before="240" w:after="0"/>
        <w:jc w:val="both"/>
        <w:rPr>
          <w:rFonts w:ascii="Arial" w:hAnsi="Arial" w:eastAsia="Times New Roman" w:cs="Arial"/>
          <w:sz w:val="22"/>
          <w:szCs w:val="22"/>
          <w:highlight w:val="yellow"/>
          <w:lang w:eastAsia="it-IT"/>
        </w:rPr>
      </w:pPr>
      <w:r>
        <w:rPr>
          <w:rFonts w:eastAsia="Times New Roman" w:cs="Arial" w:ascii="Arial" w:hAnsi="Arial"/>
          <w:sz w:val="22"/>
          <w:szCs w:val="22"/>
          <w:highlight w:val="yellow"/>
          <w:lang w:eastAsia="it-IT"/>
        </w:rPr>
      </w:r>
    </w:p>
    <w:p>
      <w:pPr>
        <w:pStyle w:val="Normal"/>
        <w:spacing w:lineRule="exact" w:line="280" w:before="240" w:after="0"/>
        <w:jc w:val="both"/>
        <w:rPr>
          <w:rFonts w:ascii="Arial" w:hAnsi="Arial" w:eastAsia="Times New Roman" w:cs="Arial"/>
          <w:sz w:val="22"/>
          <w:szCs w:val="22"/>
          <w:highlight w:val="yellow"/>
          <w:lang w:eastAsia="it-IT"/>
        </w:rPr>
      </w:pPr>
      <w:r>
        <w:rPr>
          <w:rFonts w:eastAsia="Times New Roman" w:cs="Arial" w:ascii="Arial" w:hAnsi="Arial"/>
          <w:sz w:val="22"/>
          <w:szCs w:val="22"/>
          <w:highlight w:val="yellow"/>
          <w:lang w:eastAsia="it-IT"/>
        </w:rPr>
      </w:r>
    </w:p>
    <w:p>
      <w:pPr>
        <w:pStyle w:val="Normal"/>
        <w:spacing w:lineRule="exact" w:line="280" w:before="240" w:after="0"/>
        <w:jc w:val="both"/>
        <w:rPr>
          <w:rFonts w:ascii="Arial" w:hAnsi="Arial" w:eastAsia="Times New Roman" w:cs="Arial"/>
          <w:sz w:val="22"/>
          <w:szCs w:val="22"/>
          <w:highlight w:val="yellow"/>
          <w:lang w:eastAsia="it-IT"/>
        </w:rPr>
      </w:pPr>
      <w:r>
        <w:rPr>
          <w:rFonts w:eastAsia="Times New Roman" w:cs="Arial" w:ascii="Arial" w:hAnsi="Arial"/>
          <w:sz w:val="22"/>
          <w:szCs w:val="22"/>
          <w:highlight w:val="yellow"/>
          <w:lang w:eastAsia="it-IT"/>
        </w:rPr>
      </w:r>
    </w:p>
    <w:p>
      <w:pPr>
        <w:pStyle w:val="Titolo21"/>
        <w:numPr>
          <w:ilvl w:val="1"/>
          <w:numId w:val="2"/>
        </w:numPr>
        <w:ind w:hanging="567" w:left="567"/>
        <w:rPr/>
      </w:pPr>
      <w:bookmarkStart w:id="5" w:name="_Toc120472308"/>
      <w:bookmarkStart w:id="6" w:name="_Toc188008154"/>
      <w:r>
        <w:rPr/>
        <w:t>L’Unione Terre di Castelli</w:t>
      </w:r>
      <w:bookmarkEnd w:id="5"/>
      <w:bookmarkEnd w:id="6"/>
    </w:p>
    <w:p>
      <w:pPr>
        <w:pStyle w:val="Normal"/>
        <w:spacing w:lineRule="exact" w:line="280" w:before="120" w:after="120"/>
        <w:jc w:val="both"/>
        <w:rPr>
          <w:rFonts w:ascii="Arial" w:hAnsi="Arial" w:cs="Arial"/>
          <w:sz w:val="22"/>
          <w:szCs w:val="22"/>
        </w:rPr>
      </w:pPr>
      <w:r>
        <w:rPr>
          <w:rFonts w:cs="Arial" w:ascii="Arial" w:hAnsi="Arial"/>
          <w:sz w:val="22"/>
          <w:szCs w:val="22"/>
        </w:rPr>
        <w:t>Il Comune di Marano per l’erogazione di alcuni servizi si avvale dell’Unione Terre di Castelli che è un ente locale sovracomunale, costituito nel 2001, che aggrega i comuni di Castelnuovo Rangone, Castelvetro di Modena, Guiglia, Marano sul Panaro, Savignano sul Panaro, Spilamberto, Vignola e Zocca. Allo stato attuale i servizi che l’Unione eroga per conto del comune di Marano sono i seguenti:</w:t>
      </w:r>
    </w:p>
    <w:tbl>
      <w:tblPr>
        <w:tblW w:w="9803" w:type="dxa"/>
        <w:jc w:val="left"/>
        <w:tblInd w:w="-14" w:type="dxa"/>
        <w:tblLayout w:type="fixed"/>
        <w:tblCellMar>
          <w:top w:w="0" w:type="dxa"/>
          <w:left w:w="0" w:type="dxa"/>
          <w:bottom w:w="0" w:type="dxa"/>
          <w:right w:w="0" w:type="dxa"/>
        </w:tblCellMar>
        <w:tblLook w:val="04a0"/>
      </w:tblPr>
      <w:tblGrid>
        <w:gridCol w:w="9803"/>
      </w:tblGrid>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attività per la tutela della sicurezza e della salute nei luoghi di lavoro</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gestione personale, formazione professionale, contrattazione decentrata e relazioni sindacali</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servizi scolastici, mensa e trasporto</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convenzione per la gestione unitaria del servizio sociale professionale e dell’assistenza economica ai minori, adulti ed anziani</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funzioni in materia di agricoltura e tutela del territorio</w:t>
            </w:r>
          </w:p>
        </w:tc>
      </w:tr>
      <w:tr>
        <w:trPr/>
        <w:tc>
          <w:tcPr>
            <w:tcW w:w="9803" w:type="dxa"/>
            <w:tcBorders/>
            <w:shd w:color="auto" w:fill="auto" w:val="clear"/>
          </w:tcPr>
          <w:p>
            <w:pPr>
              <w:pStyle w:val="Normal"/>
              <w:suppressAutoHyphens w:val="false"/>
              <w:spacing w:lineRule="exact" w:line="260"/>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servizi sociali e socio sanitari</w:t>
            </w:r>
          </w:p>
        </w:tc>
      </w:tr>
      <w:tr>
        <w:trPr/>
        <w:tc>
          <w:tcPr>
            <w:tcW w:w="9803" w:type="dxa"/>
            <w:tcBorders/>
            <w:shd w:color="auto" w:fill="auto" w:val="clear"/>
          </w:tcPr>
          <w:p>
            <w:pPr>
              <w:pStyle w:val="Normal"/>
              <w:suppressAutoHyphens w:val="false"/>
              <w:spacing w:lineRule="exact" w:line="260"/>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politiche tariffarie nei servizi scolastici e sociali e dell’applicazione dell’isee</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funzioni di ricerca avanzata, sviluppo tecnologico e rapporti con la scuola e l’università</w:t>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servizi Informativi</w:t>
            </w:r>
          </w:p>
        </w:tc>
      </w:tr>
      <w:tr>
        <w:trPr/>
        <w:tc>
          <w:tcPr>
            <w:tcW w:w="9803" w:type="dxa"/>
            <w:tcBorders/>
            <w:shd w:color="auto" w:fill="auto" w:val="clear"/>
          </w:tcPr>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organismo Indipendente di Valutazione della performance – OIV</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esercizio autonomo in forma associata delle funzioni in materia sismica</w:t>
            </w:r>
          </w:p>
        </w:tc>
      </w:tr>
      <w:tr>
        <w:trPr/>
        <w:tc>
          <w:tcPr>
            <w:tcW w:w="9803" w:type="dxa"/>
            <w:tcBorders/>
            <w:shd w:color="auto" w:fill="auto" w:val="clear"/>
          </w:tcPr>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rHeight w:val="198" w:hRule="atLeast"/>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consiglio tributario dell’unione (convenzione sottoscritta ma alla quale non è stata data attuazione per modifiche normative intervenute successivamente)</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rHeight w:val="198" w:hRule="atLeast"/>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politiche abitative per le fasce deboli della popolazione</w:t>
            </w:r>
          </w:p>
        </w:tc>
      </w:tr>
      <w:tr>
        <w:trPr/>
        <w:tc>
          <w:tcPr>
            <w:tcW w:w="9803" w:type="dxa"/>
            <w:tcBorders/>
            <w:shd w:color="auto" w:fill="auto" w:val="clear"/>
          </w:tcPr>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funzioni e attività di corpo unico di Polizia locale</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centrale Unica di Committenza</w:t>
            </w:r>
          </w:p>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armonizzazione dei regolamenti, atti normativi, piani e programmi</w:t>
            </w:r>
          </w:p>
        </w:tc>
      </w:tr>
      <w:tr>
        <w:trPr/>
        <w:tc>
          <w:tcPr>
            <w:tcW w:w="9803" w:type="dxa"/>
            <w:tcBorders/>
            <w:shd w:color="auto" w:fill="auto" w:val="clear"/>
          </w:tcPr>
          <w:p>
            <w:pPr>
              <w:pStyle w:val="Normal"/>
              <w:suppressAutoHyphens w:val="false"/>
              <w:spacing w:lineRule="exact" w:line="260"/>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sistema bibliotecario intercomunale</w:t>
            </w:r>
          </w:p>
        </w:tc>
      </w:tr>
      <w:tr>
        <w:trPr/>
        <w:tc>
          <w:tcPr>
            <w:tcW w:w="9803" w:type="dxa"/>
            <w:tcBorders/>
            <w:shd w:color="auto" w:fill="auto" w:val="clear"/>
          </w:tcPr>
          <w:p>
            <w:pPr>
              <w:pStyle w:val="ListParagraph"/>
              <w:suppressAutoHyphens w:val="false"/>
              <w:spacing w:lineRule="exact" w:line="260" w:before="0" w:after="0"/>
              <w:ind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ListParagraph"/>
              <w:numPr>
                <w:ilvl w:val="0"/>
                <w:numId w:val="13"/>
              </w:numPr>
              <w:suppressAutoHyphens w:val="false"/>
              <w:spacing w:lineRule="exact" w:line="260" w:before="0" w:after="0"/>
              <w:ind w:hanging="425" w:left="567"/>
              <w:contextualSpacing/>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protezione civile.</w:t>
            </w:r>
          </w:p>
        </w:tc>
      </w:tr>
      <w:tr>
        <w:trPr/>
        <w:tc>
          <w:tcPr>
            <w:tcW w:w="9803" w:type="dxa"/>
            <w:tcBorders/>
            <w:shd w:color="auto" w:fill="auto" w:val="clear"/>
          </w:tcPr>
          <w:p>
            <w:pPr>
              <w:pStyle w:val="Normal"/>
              <w:suppressAutoHyphens w:val="false"/>
              <w:spacing w:lineRule="exact" w:line="260" w:before="120" w:after="0"/>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Normal"/>
              <w:suppressAutoHyphens w:val="false"/>
              <w:spacing w:lineRule="exact" w:line="260" w:before="120" w:after="0"/>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9803" w:type="dxa"/>
            <w:tcBorders/>
            <w:shd w:color="auto" w:fill="auto" w:val="clear"/>
          </w:tcPr>
          <w:p>
            <w:pPr>
              <w:pStyle w:val="Normal"/>
              <w:suppressAutoHyphens w:val="false"/>
              <w:spacing w:lineRule="exact" w:line="260" w:before="120" w:after="0"/>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r>
          </w:p>
        </w:tc>
      </w:tr>
    </w:tbl>
    <w:p>
      <w:pPr>
        <w:pStyle w:val="Normal"/>
        <w:jc w:val="both"/>
        <w:rPr>
          <w:rFonts w:ascii="Arial" w:hAnsi="Arial" w:eastAsia="" w:cs="Arial" w:eastAsiaTheme="majorEastAsia"/>
        </w:rPr>
      </w:pPr>
      <w:r>
        <w:rPr>
          <w:rFonts w:eastAsia="" w:cs="Arial" w:ascii="Arial" w:hAnsi="Arial" w:eastAsiaTheme="majorEastAsia"/>
          <w:sz w:val="22"/>
          <w:szCs w:val="22"/>
        </w:rPr>
        <w:t>E’ inoltre stata costituita nel 2007 l’Azienda Pubblica di Servizi alla Persona ASP “Giorgio Gasparini”, che gestisce per i Comuni dell’Unione Servizi sociali quali l’assistenza domiciliare, la Comunità alloggio, il trasporto assistiti e gli asili nido.</w:t>
      </w:r>
      <w:r>
        <w:br w:type="page"/>
      </w:r>
    </w:p>
    <w:p>
      <w:pPr>
        <w:pStyle w:val="Normal"/>
        <w:spacing w:beforeAutospacing="1" w:after="0"/>
        <w:rPr>
          <w:rFonts w:ascii="Arial" w:hAnsi="Arial" w:eastAsia="" w:cs="Arial" w:eastAsiaTheme="majorEastAsia"/>
          <w:color w:themeColor="accent1" w:themeShade="bf" w:val="2F5496"/>
          <w:sz w:val="26"/>
          <w:szCs w:val="26"/>
        </w:rPr>
      </w:pPr>
      <w:r>
        <w:rPr>
          <w:rFonts w:eastAsia="" w:cs="Arial" w:eastAsiaTheme="majorEastAsia" w:ascii="Arial" w:hAnsi="Arial"/>
          <w:color w:themeColor="accent1" w:themeShade="bf" w:val="2F5496"/>
          <w:sz w:val="26"/>
          <w:szCs w:val="26"/>
        </w:rPr>
      </w:r>
    </w:p>
    <w:p>
      <w:pPr>
        <w:pStyle w:val="Titolo21"/>
        <w:numPr>
          <w:ilvl w:val="1"/>
          <w:numId w:val="2"/>
        </w:numPr>
        <w:ind w:hanging="567" w:left="567"/>
        <w:rPr/>
      </w:pPr>
      <w:bookmarkStart w:id="7" w:name="_Toc188008155"/>
      <w:r>
        <w:rPr/>
        <w:t>Le partecipazioni e gli Enti Strumentali dell’Ente</w:t>
      </w:r>
      <w:bookmarkEnd w:id="7"/>
    </w:p>
    <w:p>
      <w:pPr>
        <w:pStyle w:val="Normal"/>
        <w:spacing w:lineRule="exact" w:line="260" w:before="120" w:after="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t>Nel caso del Comune di Marano sul Panaro l’insieme degli enti e delle società controllate o semplicemente partecipate viene di seguito riportato (come inserito nel DUP 2025/2027):</w:t>
      </w:r>
    </w:p>
    <w:p>
      <w:pPr>
        <w:pStyle w:val="Normal"/>
        <w:numPr>
          <w:ilvl w:val="0"/>
          <w:numId w:val="6"/>
        </w:numPr>
        <w:tabs>
          <w:tab w:val="clear" w:pos="720"/>
          <w:tab w:val="left" w:pos="288" w:leader="none"/>
        </w:tabs>
        <w:spacing w:lineRule="exact" w:line="260" w:before="120" w:after="0"/>
        <w:ind w:hanging="283" w:left="283"/>
        <w:jc w:val="both"/>
        <w:rPr>
          <w:rFonts w:ascii="Arial" w:hAnsi="Arial" w:eastAsia="Times New Roman" w:cs="Arial"/>
          <w:color w:val="000000"/>
          <w:sz w:val="22"/>
          <w:szCs w:val="22"/>
          <w:lang w:eastAsia="it-IT"/>
        </w:rPr>
      </w:pPr>
      <w:r>
        <w:rPr>
          <w:rFonts w:eastAsia="Times New Roman" w:cs="Arial" w:ascii="Arial" w:hAnsi="Arial"/>
          <w:b/>
          <w:bCs/>
          <w:color w:val="000000"/>
          <w:sz w:val="22"/>
          <w:szCs w:val="22"/>
          <w:u w:val="single"/>
          <w:lang w:eastAsia="it-IT"/>
        </w:rPr>
        <w:t xml:space="preserve">AMO spa. </w:t>
      </w:r>
    </w:p>
    <w:p>
      <w:pPr>
        <w:pStyle w:val="Normal"/>
        <w:tabs>
          <w:tab w:val="clear" w:pos="720"/>
          <w:tab w:val="left" w:pos="288" w:leader="none"/>
        </w:tabs>
        <w:spacing w:lineRule="exact" w:line="260" w:before="120" w:after="0"/>
        <w:ind w:left="72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t>Tipo di legame Partecipata (AP_BIV.1b)</w:t>
      </w:r>
    </w:p>
    <w:p>
      <w:pPr>
        <w:pStyle w:val="Normal"/>
        <w:ind w:left="720"/>
        <w:jc w:val="both"/>
        <w:rPr>
          <w:rFonts w:ascii="Arial" w:hAnsi="Arial" w:eastAsia="Times New Roman" w:cs="Arial"/>
          <w:color w:val="000000"/>
          <w:sz w:val="22"/>
          <w:szCs w:val="22"/>
          <w:lang w:eastAsia="it-IT"/>
        </w:rPr>
      </w:pPr>
      <w:r>
        <w:rPr>
          <w:rFonts w:ascii="Arial" w:hAnsi="Arial"/>
          <w:sz w:val="22"/>
          <w:szCs w:val="22"/>
        </w:rPr>
        <w:t>Quota di partecipazione 0,050000 %</w:t>
      </w:r>
    </w:p>
    <w:p>
      <w:pPr>
        <w:pStyle w:val="Normal"/>
        <w:ind w:left="720"/>
        <w:jc w:val="both"/>
        <w:rPr>
          <w:rFonts w:ascii="Arial" w:hAnsi="Arial" w:eastAsia="Times New Roman" w:cs="Arial"/>
          <w:color w:val="000000"/>
          <w:sz w:val="22"/>
          <w:szCs w:val="22"/>
          <w:lang w:eastAsia="it-IT"/>
        </w:rPr>
      </w:pPr>
      <w:r>
        <w:rPr>
          <w:rFonts w:ascii="Arial" w:hAnsi="Arial"/>
          <w:sz w:val="22"/>
          <w:szCs w:val="22"/>
        </w:rPr>
        <w:t>Attività e note: Funzioni di programmazione operativa, progettazione e monitoraggio dei servizi di trasporto pubblico locale di persone nel bacino provinciale di Modena</w:t>
      </w:r>
    </w:p>
    <w:p>
      <w:pPr>
        <w:pStyle w:val="Normal"/>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Normal"/>
        <w:numPr>
          <w:ilvl w:val="0"/>
          <w:numId w:val="6"/>
        </w:numPr>
        <w:tabs>
          <w:tab w:val="clear" w:pos="720"/>
          <w:tab w:val="left" w:pos="336" w:leader="none"/>
        </w:tabs>
        <w:ind w:hanging="340" w:left="340"/>
        <w:jc w:val="both"/>
        <w:rPr>
          <w:rFonts w:ascii="Arial" w:hAnsi="Arial" w:eastAsia="Times New Roman" w:cs="Arial"/>
          <w:color w:val="000000"/>
          <w:sz w:val="22"/>
          <w:szCs w:val="22"/>
          <w:lang w:eastAsia="it-IT"/>
        </w:rPr>
      </w:pPr>
      <w:r>
        <w:rPr>
          <w:rFonts w:ascii="Arial" w:hAnsi="Arial"/>
          <w:b/>
          <w:bCs/>
          <w:sz w:val="22"/>
          <w:szCs w:val="22"/>
          <w:u w:val="single"/>
        </w:rPr>
        <w:t>HERA spa</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Tipo di legame Partecipata (AP_BIV.1b)</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Quota di partecipazione 0,023745 %</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Attività e note: Gestione dei servizi legati al ciclo dell'acqua, all'utilizzo delle risorse energetiche e alla gestione dei servizi ambientali</w:t>
      </w:r>
    </w:p>
    <w:p>
      <w:pPr>
        <w:pStyle w:val="Normal"/>
        <w:tabs>
          <w:tab w:val="clear" w:pos="720"/>
          <w:tab w:val="left" w:pos="336" w:leader="none"/>
        </w:tabs>
        <w:ind w:hanging="340" w:left="34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Normal"/>
        <w:numPr>
          <w:ilvl w:val="0"/>
          <w:numId w:val="6"/>
        </w:numPr>
        <w:tabs>
          <w:tab w:val="clear" w:pos="720"/>
          <w:tab w:val="left" w:pos="336" w:leader="none"/>
        </w:tabs>
        <w:ind w:hanging="340" w:left="340"/>
        <w:jc w:val="both"/>
        <w:rPr>
          <w:rFonts w:ascii="Arial" w:hAnsi="Arial" w:eastAsia="Times New Roman" w:cs="Arial"/>
          <w:color w:val="000000"/>
          <w:sz w:val="22"/>
          <w:szCs w:val="22"/>
          <w:lang w:eastAsia="it-IT"/>
        </w:rPr>
      </w:pPr>
      <w:r>
        <w:rPr>
          <w:rFonts w:ascii="Arial" w:hAnsi="Arial"/>
          <w:b/>
          <w:bCs/>
          <w:sz w:val="22"/>
          <w:szCs w:val="22"/>
          <w:u w:val="single"/>
        </w:rPr>
        <w:t>LEPIDA scpa</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Tipo di legame Partecipata (AP_BIV.1b)</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Quota di partecipazione 0,001431 %</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Attività e note: Realizzazione e gestione della rete regionale a banda larga delle pubbliche amministrazioni e la fornitura dei relativi servizi di connettività</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Normal"/>
        <w:numPr>
          <w:ilvl w:val="0"/>
          <w:numId w:val="6"/>
        </w:numPr>
        <w:tabs>
          <w:tab w:val="clear" w:pos="720"/>
          <w:tab w:val="left" w:pos="336" w:leader="none"/>
        </w:tabs>
        <w:ind w:hanging="340" w:left="340"/>
        <w:jc w:val="both"/>
        <w:rPr>
          <w:rFonts w:ascii="Arial" w:hAnsi="Arial" w:eastAsia="Times New Roman" w:cs="Arial"/>
          <w:color w:val="000000"/>
          <w:sz w:val="22"/>
          <w:szCs w:val="22"/>
          <w:lang w:eastAsia="it-IT"/>
        </w:rPr>
      </w:pPr>
      <w:r>
        <w:rPr>
          <w:rFonts w:ascii="Arial" w:hAnsi="Arial"/>
          <w:b/>
          <w:bCs/>
          <w:sz w:val="22"/>
          <w:szCs w:val="22"/>
          <w:u w:val="single"/>
        </w:rPr>
        <w:t>SETA spa</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Tipo di legame Partecipata (AP_BIV.1b)</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Quota di partecipazione 0,013059 %</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Attività e note: Gestisce il servizio di trasporto pubblico locale nei tre bacini provinciali di Modena, Piacenza e Reggio Emilia</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Normal"/>
        <w:numPr>
          <w:ilvl w:val="0"/>
          <w:numId w:val="6"/>
        </w:numPr>
        <w:tabs>
          <w:tab w:val="clear" w:pos="720"/>
          <w:tab w:val="left" w:pos="336" w:leader="none"/>
        </w:tabs>
        <w:ind w:hanging="340" w:left="340"/>
        <w:jc w:val="both"/>
        <w:rPr>
          <w:rFonts w:ascii="Arial" w:hAnsi="Arial" w:eastAsia="Times New Roman" w:cs="Arial"/>
          <w:color w:val="000000"/>
          <w:sz w:val="22"/>
          <w:szCs w:val="22"/>
          <w:lang w:eastAsia="it-IT"/>
        </w:rPr>
      </w:pPr>
      <w:r>
        <w:rPr>
          <w:rFonts w:ascii="Arial" w:hAnsi="Arial"/>
          <w:b/>
          <w:bCs/>
          <w:sz w:val="22"/>
          <w:szCs w:val="22"/>
          <w:u w:val="single"/>
        </w:rPr>
        <w:t>ASP Terre di Castelli “Giorgio Gasparini”</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Tipo di legame Altro (AP_BIV.1c)</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Quota di partecipazione 2,800000 %</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Attività e note: Azienda pubblica multi servizi e multi settore che eroga servizi ed interventi sociali, socioassistenziali, socio-sanitari, socio-educativi ed educativi nell'ambito territoriale del distretto.</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Normal"/>
        <w:numPr>
          <w:ilvl w:val="0"/>
          <w:numId w:val="6"/>
        </w:numPr>
        <w:tabs>
          <w:tab w:val="clear" w:pos="720"/>
          <w:tab w:val="left" w:pos="336" w:leader="none"/>
        </w:tabs>
        <w:ind w:hanging="340" w:left="340"/>
        <w:jc w:val="both"/>
        <w:rPr>
          <w:rFonts w:ascii="Arial" w:hAnsi="Arial" w:eastAsia="Times New Roman" w:cs="Arial"/>
          <w:color w:val="000000"/>
          <w:sz w:val="22"/>
          <w:szCs w:val="22"/>
          <w:lang w:eastAsia="it-IT"/>
        </w:rPr>
      </w:pPr>
      <w:r>
        <w:rPr>
          <w:rFonts w:ascii="Arial" w:hAnsi="Arial"/>
          <w:b/>
          <w:bCs/>
          <w:sz w:val="22"/>
          <w:szCs w:val="22"/>
          <w:u w:val="single"/>
        </w:rPr>
        <w:t>Azienda Casa Emilia-Romagna della Provincia di Modena</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Tipo di legame Altro (AP_BIV.1c)</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Quota di partecipazione 0,570000 %</w:t>
      </w:r>
    </w:p>
    <w:p>
      <w:pPr>
        <w:pStyle w:val="Normal"/>
        <w:tabs>
          <w:tab w:val="clear" w:pos="720"/>
          <w:tab w:val="left" w:pos="336" w:leader="none"/>
        </w:tabs>
        <w:ind w:left="720"/>
        <w:jc w:val="both"/>
        <w:rPr>
          <w:rFonts w:ascii="Arial" w:hAnsi="Arial" w:eastAsia="Times New Roman" w:cs="Arial"/>
          <w:color w:val="000000"/>
          <w:sz w:val="22"/>
          <w:szCs w:val="22"/>
          <w:lang w:eastAsia="it-IT"/>
        </w:rPr>
      </w:pPr>
      <w:r>
        <w:rPr>
          <w:rFonts w:ascii="Arial" w:hAnsi="Arial"/>
          <w:sz w:val="22"/>
          <w:szCs w:val="22"/>
        </w:rPr>
        <w:t>Attività e note: Gestione del patrimonio immobiliare, gestione dei servizi attinenti al soddisfacimento delle esigenze abitative</w:t>
      </w:r>
    </w:p>
    <w:p>
      <w:pPr>
        <w:pStyle w:val="Normal"/>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Normal"/>
        <w:jc w:val="both"/>
        <w:rPr>
          <w:rFonts w:ascii="Arial" w:hAnsi="Arial" w:eastAsia="Times New Roman" w:cs="Arial"/>
          <w:color w:val="000000"/>
          <w:sz w:val="22"/>
          <w:szCs w:val="22"/>
          <w:lang w:eastAsia="it-IT"/>
        </w:rPr>
      </w:pPr>
      <w:r>
        <w:rPr>
          <w:rFonts w:eastAsia="Times New Roman" w:cs="Arial" w:ascii="Arial" w:hAnsi="Arial"/>
          <w:sz w:val="22"/>
          <w:szCs w:val="22"/>
          <w:lang w:eastAsia="it-IT"/>
        </w:rPr>
        <w:t xml:space="preserve">Tra gli obiettivi dell'ente si conferma il costante monitoraggio del sistema delle partecipazioni detenute, avviato anche </w:t>
      </w:r>
      <w:r>
        <w:rPr>
          <w:rFonts w:ascii="Arial" w:hAnsi="Arial"/>
          <w:sz w:val="22"/>
          <w:szCs w:val="22"/>
        </w:rPr>
        <w:t>in adempimento agli obblighi introdotti dalla normativa vigente: il D.Lgs. 19 agosto 2016,n. 175 (TUSPP) ed il D.Lgs. 16 giugno 2017, n. 100  hanno apportato alcune novità in tema di controlli sulle società partecipate da pubbliche amministrazioni ed hanno altresì disposto nuovi obblighi in materia di razionalizzazione del sistema delle partecipazioni societarie.</w:t>
      </w:r>
    </w:p>
    <w:p>
      <w:pPr>
        <w:pStyle w:val="Normal"/>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r>
        <w:br w:type="page"/>
      </w:r>
    </w:p>
    <w:p>
      <w:pPr>
        <w:pStyle w:val="Normal"/>
        <w:spacing w:before="0" w:after="0"/>
        <w:jc w:val="both"/>
        <w:rPr>
          <w:rFonts w:ascii="Arial" w:hAnsi="Arial" w:eastAsia="Times New Roman" w:cs="Arial"/>
          <w:color w:val="000000"/>
          <w:sz w:val="22"/>
          <w:szCs w:val="22"/>
          <w:lang w:eastAsia="it-IT"/>
        </w:rPr>
      </w:pPr>
      <w:r>
        <w:rPr>
          <w:rFonts w:eastAsia="Times New Roman" w:cs="Arial" w:ascii="Arial" w:hAnsi="Arial"/>
          <w:color w:val="000000"/>
          <w:sz w:val="22"/>
          <w:szCs w:val="22"/>
          <w:lang w:eastAsia="it-IT"/>
        </w:rPr>
      </w:r>
    </w:p>
    <w:p>
      <w:pPr>
        <w:pStyle w:val="Titolo21"/>
        <w:numPr>
          <w:ilvl w:val="1"/>
          <w:numId w:val="2"/>
        </w:numPr>
        <w:spacing w:lineRule="exact" w:line="280" w:before="240" w:after="0"/>
        <w:ind w:hanging="567" w:left="567"/>
        <w:rPr>
          <w:highlight w:val="none"/>
          <w:shd w:fill="auto" w:val="clear"/>
        </w:rPr>
      </w:pPr>
      <w:bookmarkStart w:id="8" w:name="_Toc188008156"/>
      <w:r>
        <w:rPr>
          <w:shd w:fill="auto" w:val="clear"/>
        </w:rPr>
        <w:t>Entrate e spese dell’ente</w:t>
      </w:r>
      <w:bookmarkEnd w:id="8"/>
    </w:p>
    <w:p>
      <w:pPr>
        <w:pStyle w:val="Normal"/>
        <w:spacing w:lineRule="exact" w:line="260" w:before="120" w:after="0"/>
        <w:jc w:val="both"/>
        <w:rPr>
          <w:highlight w:val="none"/>
          <w:shd w:fill="auto" w:val="clear"/>
        </w:rPr>
      </w:pPr>
      <w:r>
        <w:rPr>
          <w:rFonts w:cs="Arial" w:ascii="Arial" w:hAnsi="Arial"/>
          <w:sz w:val="22"/>
          <w:szCs w:val="22"/>
          <w:shd w:fill="auto" w:val="clear"/>
        </w:rPr>
        <w:t>Per dare un ordine di grandezza della capacità di spesa dell’Ente, si riportano di seguito l’entità delle entrate e spese per titoli, rimandando al bilancio di previsione 2026-2028, da cui tali tabelle sono tratte, per ulteriori e più esaustivi dettagli.</w:t>
      </w:r>
    </w:p>
    <w:p>
      <w:pPr>
        <w:pStyle w:val="Normal"/>
        <w:spacing w:lineRule="exact" w:line="260" w:before="120" w:after="0"/>
        <w:jc w:val="both"/>
        <w:rPr>
          <w:highlight w:val="none"/>
          <w:shd w:fill="auto" w:val="clear"/>
        </w:rPr>
      </w:pPr>
      <w:r>
        <w:rPr>
          <w:rFonts w:cs="Arial" w:ascii="Arial" w:hAnsi="Arial"/>
          <w:sz w:val="22"/>
          <w:szCs w:val="22"/>
          <w:shd w:fill="auto" w:val="clear"/>
        </w:rPr>
        <w:t>In premessa si evidenziano i parametri di deficitarietà strutturale:</w:t>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6315710" cy="1810385"/>
            <wp:effectExtent l="0" t="0" r="0" b="0"/>
            <wp:wrapSquare wrapText="largest"/>
            <wp:docPr id="3"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descr=""/>
                    <pic:cNvPicPr>
                      <a:picLocks noChangeAspect="1" noChangeArrowheads="1"/>
                    </pic:cNvPicPr>
                  </pic:nvPicPr>
                  <pic:blipFill>
                    <a:blip r:embed="rId6"/>
                    <a:stretch>
                      <a:fillRect/>
                    </a:stretch>
                  </pic:blipFill>
                  <pic:spPr bwMode="auto">
                    <a:xfrm>
                      <a:off x="0" y="0"/>
                      <a:ext cx="6315710" cy="1810385"/>
                    </a:xfrm>
                    <a:prstGeom prst="rect">
                      <a:avLst/>
                    </a:prstGeom>
                  </pic:spPr>
                </pic:pic>
              </a:graphicData>
            </a:graphic>
          </wp:anchor>
        </w:drawing>
      </w:r>
    </w:p>
    <w:p>
      <w:pPr>
        <w:pStyle w:val="Normal"/>
        <w:spacing w:lineRule="exact" w:line="260" w:before="120" w:after="0"/>
        <w:jc w:val="both"/>
        <w:rPr/>
      </w:pPr>
      <w:r>
        <w:rPr>
          <w:rFonts w:cs="Arial" w:ascii="Arial" w:hAnsi="Arial"/>
          <w:sz w:val="22"/>
          <w:szCs w:val="22"/>
        </w:rPr>
        <w:t>A seguire il prospetto degli equilibri finanziari e principi contabili. Questa situazione di iniziale equilibrio tra entrate e uscite sar</w:t>
      </w:r>
      <w:r>
        <w:rPr>
          <w:rFonts w:ascii="Arial" w:hAnsi="Arial"/>
          <w:sz w:val="22"/>
          <w:szCs w:val="22"/>
        </w:rPr>
        <w:t>à poi oggetto di un costante monitoraggio tecnico in modo da garantire che durante la gestione, come nelle variazioni di bilancio, vengano conservati gli equilibri di bilancio e mantenuta la copertura delle spese correnti e il finanziamento degli investimenti. Il prospetto riporta la situazione complessiva di equilibrio ed evidenzia il pareggio nella competenza.</w:t>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highlight w:val="yellow"/>
        </w:rPr>
      </w:pPr>
      <w:r>
        <w:rPr>
          <w:rFonts w:cs="Arial" w:ascii="Arial" w:hAnsi="Arial"/>
          <w:sz w:val="22"/>
          <w:szCs w:val="22"/>
          <w:highlight w:val="yellow"/>
        </w:rP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6315710" cy="3927475"/>
            <wp:effectExtent l="0" t="0" r="0" b="0"/>
            <wp:wrapSquare wrapText="largest"/>
            <wp:docPr id="4"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5" descr=""/>
                    <pic:cNvPicPr>
                      <a:picLocks noChangeAspect="1" noChangeArrowheads="1"/>
                    </pic:cNvPicPr>
                  </pic:nvPicPr>
                  <pic:blipFill>
                    <a:blip r:embed="rId7"/>
                    <a:stretch>
                      <a:fillRect/>
                    </a:stretch>
                  </pic:blipFill>
                  <pic:spPr bwMode="auto">
                    <a:xfrm>
                      <a:off x="0" y="0"/>
                      <a:ext cx="6315710" cy="3927475"/>
                    </a:xfrm>
                    <a:prstGeom prst="rect">
                      <a:avLst/>
                    </a:prstGeom>
                  </pic:spPr>
                </pic:pic>
              </a:graphicData>
            </a:graphic>
          </wp:anchor>
        </w:drawing>
      </w:r>
    </w:p>
    <w:p>
      <w:pPr>
        <w:pStyle w:val="Normal"/>
        <w:spacing w:lineRule="exact" w:line="260" w:before="120" w:after="0"/>
        <w:jc w:val="both"/>
        <w:rPr>
          <w:rFonts w:ascii="Arial" w:hAnsi="Arial" w:cs="Arial"/>
          <w:sz w:val="22"/>
          <w:szCs w:val="22"/>
          <w:highlight w:val="yellow"/>
        </w:rPr>
      </w:pPr>
      <w:r>
        <w:rPr>
          <w:rFonts w:cs="Arial" w:ascii="Arial" w:hAnsi="Arial"/>
          <w:sz w:val="22"/>
          <w:szCs w:val="22"/>
          <w:highlight w:val="yellow"/>
        </w:rPr>
      </w:r>
      <w:r>
        <w:br w:type="page"/>
      </w:r>
    </w:p>
    <w:p>
      <w:pPr>
        <w:pStyle w:val="Normal"/>
        <w:spacing w:lineRule="exact" w:line="260" w:before="0" w:after="0"/>
        <w:jc w:val="both"/>
        <w:rPr/>
      </w:pPr>
      <w:r>
        <w:rPr>
          <w:rFonts w:cs="Arial" w:ascii="Arial" w:hAnsi="Arial"/>
          <w:b/>
          <w:color w:val="000000"/>
          <w:sz w:val="20"/>
          <w:szCs w:val="20"/>
        </w:rPr>
        <w:t>Composizione ed equilibrio del bilancio corrente</w:t>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drawing>
          <wp:anchor behindDoc="0" distT="0" distB="0" distL="0" distR="0" simplePos="0" locked="0" layoutInCell="0" allowOverlap="1" relativeHeight="9">
            <wp:simplePos x="0" y="0"/>
            <wp:positionH relativeFrom="column">
              <wp:posOffset>11430</wp:posOffset>
            </wp:positionH>
            <wp:positionV relativeFrom="paragraph">
              <wp:posOffset>66675</wp:posOffset>
            </wp:positionV>
            <wp:extent cx="5582285" cy="3839210"/>
            <wp:effectExtent l="0" t="0" r="0" b="0"/>
            <wp:wrapSquare wrapText="largest"/>
            <wp:docPr id="5" name="Immagin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6" descr=""/>
                    <pic:cNvPicPr>
                      <a:picLocks noChangeAspect="1" noChangeArrowheads="1"/>
                    </pic:cNvPicPr>
                  </pic:nvPicPr>
                  <pic:blipFill>
                    <a:blip r:embed="rId8"/>
                    <a:stretch>
                      <a:fillRect/>
                    </a:stretch>
                  </pic:blipFill>
                  <pic:spPr bwMode="auto">
                    <a:xfrm>
                      <a:off x="0" y="0"/>
                      <a:ext cx="5582285" cy="3839210"/>
                    </a:xfrm>
                    <a:prstGeom prst="rect">
                      <a:avLst/>
                    </a:prstGeom>
                  </pic:spPr>
                </pic:pic>
              </a:graphicData>
            </a:graphic>
          </wp:anchor>
        </w:drawing>
      </w:r>
      <w:r>
        <w:rPr>
          <w:rFonts w:cs="Arial" w:ascii="Arial" w:hAnsi="Arial"/>
          <w:b/>
          <w:color w:val="000000"/>
          <w:sz w:val="20"/>
          <w:szCs w:val="20"/>
        </w:rPr>
        <w:t>Composizione ed equilibrio del bilancio investimenti</w:t>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drawing>
          <wp:anchor behindDoc="0" distT="0" distB="0" distL="0" distR="0" simplePos="0" locked="0" layoutInCell="0" allowOverlap="1" relativeHeight="10">
            <wp:simplePos x="0" y="0"/>
            <wp:positionH relativeFrom="column">
              <wp:posOffset>-20320</wp:posOffset>
            </wp:positionH>
            <wp:positionV relativeFrom="paragraph">
              <wp:posOffset>29845</wp:posOffset>
            </wp:positionV>
            <wp:extent cx="5392420" cy="4255135"/>
            <wp:effectExtent l="0" t="0" r="0" b="0"/>
            <wp:wrapSquare wrapText="largest"/>
            <wp:docPr id="6" name="Immagin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7" descr=""/>
                    <pic:cNvPicPr>
                      <a:picLocks noChangeAspect="1" noChangeArrowheads="1"/>
                    </pic:cNvPicPr>
                  </pic:nvPicPr>
                  <pic:blipFill>
                    <a:blip r:embed="rId9"/>
                    <a:stretch>
                      <a:fillRect/>
                    </a:stretch>
                  </pic:blipFill>
                  <pic:spPr bwMode="auto">
                    <a:xfrm>
                      <a:off x="0" y="0"/>
                      <a:ext cx="5392420" cy="4255135"/>
                    </a:xfrm>
                    <a:prstGeom prst="rect">
                      <a:avLst/>
                    </a:prstGeom>
                  </pic:spPr>
                </pic:pic>
              </a:graphicData>
            </a:graphic>
          </wp:anchor>
        </w:drawing>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spacing w:lineRule="exact" w:line="260" w:before="120" w:after="0"/>
        <w:jc w:val="both"/>
        <w:rPr>
          <w:rFonts w:ascii="Arial" w:hAnsi="Arial" w:cs="Arial"/>
          <w:b/>
          <w:color w:val="000000"/>
          <w:sz w:val="20"/>
          <w:szCs w:val="20"/>
        </w:rPr>
      </w:pPr>
      <w:r>
        <w:rPr>
          <w:rFonts w:cs="Arial" w:ascii="Arial" w:hAnsi="Arial"/>
          <w:b/>
          <w:color w:val="000000"/>
          <w:sz w:val="20"/>
          <w:szCs w:val="20"/>
        </w:rPr>
      </w:r>
    </w:p>
    <w:p>
      <w:pPr>
        <w:pStyle w:val="Normal"/>
        <w:rPr>
          <w:rFonts w:ascii="Arial" w:hAnsi="Arial" w:cs="Arial"/>
          <w:b/>
          <w:color w:val="000000"/>
          <w:sz w:val="20"/>
          <w:szCs w:val="20"/>
        </w:rPr>
      </w:pPr>
      <w:r>
        <w:rPr>
          <w:rFonts w:cs="Arial" w:ascii="Arial" w:hAnsi="Arial"/>
          <w:b/>
          <w:color w:val="000000"/>
          <w:sz w:val="20"/>
          <w:szCs w:val="20"/>
        </w:rPr>
      </w:r>
      <w:r>
        <w:br w:type="page"/>
      </w:r>
    </w:p>
    <w:p>
      <w:pPr>
        <w:pStyle w:val="Titolo11"/>
        <w:numPr>
          <w:ilvl w:val="0"/>
          <w:numId w:val="2"/>
        </w:numPr>
        <w:spacing w:before="0" w:after="0"/>
        <w:ind w:hanging="425" w:left="425"/>
        <w:rPr>
          <w:rFonts w:ascii="Arial" w:hAnsi="Arial" w:cs="Arial"/>
          <w:sz w:val="28"/>
          <w:szCs w:val="28"/>
        </w:rPr>
      </w:pPr>
      <w:bookmarkStart w:id="9" w:name="_Toc188008157"/>
      <w:r>
        <w:rPr>
          <w:rFonts w:cs="Arial" w:ascii="Arial" w:hAnsi="Arial"/>
          <w:sz w:val="28"/>
          <w:szCs w:val="28"/>
        </w:rPr>
        <w:t>SEZIONE: VALORE PUBBLICO, PERFORMANCE E ANTICORRUZIONE</w:t>
      </w:r>
      <w:bookmarkEnd w:id="9"/>
    </w:p>
    <w:p>
      <w:pPr>
        <w:pStyle w:val="Normal"/>
        <w:spacing w:before="120" w:after="0"/>
        <w:jc w:val="both"/>
        <w:rPr>
          <w:rFonts w:ascii="Arial" w:hAnsi="Arial" w:cs="Arial"/>
          <w:sz w:val="22"/>
          <w:szCs w:val="22"/>
        </w:rPr>
      </w:pPr>
      <w:r>
        <w:rPr>
          <w:rFonts w:cs="Arial" w:ascii="Arial" w:hAnsi="Arial"/>
          <w:sz w:val="22"/>
          <w:szCs w:val="22"/>
        </w:rPr>
        <w:t xml:space="preserve">In linea con le previsioni del Decreto Ministeriale il presente PIAO, in quanto redatto in forma semplificata, con riferimento alla sezione in oggetto, prevede la compilazione della sola sotto-sezione 2.3 Rischi corruttivi e Trasparenza. </w:t>
      </w:r>
    </w:p>
    <w:p>
      <w:pPr>
        <w:pStyle w:val="Normal"/>
        <w:jc w:val="both"/>
        <w:rPr>
          <w:rFonts w:ascii="Arial" w:hAnsi="Arial" w:cs="Arial"/>
        </w:rPr>
      </w:pPr>
      <w:r>
        <w:rPr>
          <w:rFonts w:cs="Arial" w:ascii="Arial" w:hAnsi="Arial"/>
        </w:rPr>
      </w:r>
    </w:p>
    <w:p>
      <w:pPr>
        <w:pStyle w:val="Titolo21"/>
        <w:numPr>
          <w:ilvl w:val="1"/>
          <w:numId w:val="2"/>
        </w:numPr>
        <w:ind w:hanging="567" w:left="567"/>
        <w:rPr/>
      </w:pPr>
      <w:bookmarkStart w:id="10" w:name="_Toc110337191"/>
      <w:bookmarkStart w:id="11" w:name="_Toc188008158"/>
      <w:r>
        <w:rPr/>
        <w:t>Sottosezione: Valore Pubblico</w:t>
      </w:r>
      <w:bookmarkEnd w:id="10"/>
      <w:bookmarkEnd w:id="11"/>
    </w:p>
    <w:p>
      <w:pPr>
        <w:pStyle w:val="Normal"/>
        <w:spacing w:lineRule="exact" w:line="260" w:before="120" w:after="0"/>
        <w:rPr>
          <w:rFonts w:ascii="Arial" w:hAnsi="Arial" w:cs="Arial"/>
          <w:sz w:val="22"/>
          <w:szCs w:val="22"/>
          <w:u w:val="single"/>
        </w:rPr>
      </w:pPr>
      <w:r>
        <w:rPr>
          <w:rFonts w:cs="Arial" w:ascii="Arial" w:hAnsi="Arial"/>
          <w:sz w:val="22"/>
          <w:szCs w:val="22"/>
          <w:u w:val="single"/>
        </w:rPr>
        <w:t>Non prevista nella struttura semplificata del PIAO</w:t>
      </w:r>
    </w:p>
    <w:p>
      <w:pPr>
        <w:pStyle w:val="Normal"/>
        <w:spacing w:lineRule="exact" w:line="260" w:before="120" w:after="0"/>
        <w:jc w:val="both"/>
        <w:rPr>
          <w:rFonts w:ascii="Arial" w:hAnsi="Arial" w:cs="Arial"/>
          <w:sz w:val="22"/>
          <w:szCs w:val="22"/>
        </w:rPr>
      </w:pPr>
      <w:r>
        <w:rPr>
          <w:rFonts w:cs="Arial" w:ascii="Arial" w:hAnsi="Arial"/>
          <w:sz w:val="22"/>
          <w:szCs w:val="22"/>
        </w:rPr>
        <w:t>Si precisa comunque come il Comune di Marano sul Panaro abbia provveduto ad approvare la Nota di aggiornamento al Documento Unico di Programmazione (NaDUP) 2026/2028 con deliberazione di Consiglio Comunale n. 51 del 23/12/2025, in cui vengono analizzate, tra l’altro, le condizioni interne ed esterne.</w:t>
      </w:r>
    </w:p>
    <w:p>
      <w:pPr>
        <w:pStyle w:val="Normal"/>
        <w:spacing w:lineRule="exact" w:line="260" w:before="120" w:after="0"/>
        <w:jc w:val="both"/>
        <w:rPr>
          <w:rFonts w:ascii="Arial" w:hAnsi="Arial" w:cs="Arial"/>
        </w:rPr>
      </w:pPr>
      <w:r>
        <w:rPr>
          <w:rFonts w:cs="Arial" w:ascii="Arial" w:hAnsi="Arial"/>
        </w:rPr>
      </w:r>
    </w:p>
    <w:p>
      <w:pPr>
        <w:pStyle w:val="Titolo21"/>
        <w:numPr>
          <w:ilvl w:val="1"/>
          <w:numId w:val="2"/>
        </w:numPr>
        <w:ind w:hanging="567" w:left="567"/>
        <w:rPr/>
      </w:pPr>
      <w:bookmarkStart w:id="12" w:name="_Toc110337194"/>
      <w:bookmarkStart w:id="13" w:name="_Toc188008159"/>
      <w:r>
        <w:rPr/>
        <w:t>Sottosezione: Performance</w:t>
      </w:r>
      <w:bookmarkEnd w:id="12"/>
      <w:bookmarkEnd w:id="13"/>
    </w:p>
    <w:p>
      <w:pPr>
        <w:pStyle w:val="Normal"/>
        <w:spacing w:lineRule="exact" w:line="260" w:before="120" w:after="0"/>
        <w:rPr>
          <w:rFonts w:ascii="Arial" w:hAnsi="Arial" w:cs="Arial"/>
          <w:sz w:val="22"/>
          <w:szCs w:val="22"/>
        </w:rPr>
      </w:pPr>
      <w:r>
        <w:rPr>
          <w:rFonts w:cs="Arial" w:ascii="Arial" w:hAnsi="Arial"/>
          <w:sz w:val="22"/>
          <w:szCs w:val="22"/>
          <w:u w:val="single"/>
        </w:rPr>
        <w:t>Non prevista nella struttura semplificata del PIAO</w:t>
      </w:r>
      <w:r>
        <w:rPr>
          <w:rFonts w:cs="Arial" w:ascii="Arial" w:hAnsi="Arial"/>
          <w:sz w:val="22"/>
          <w:szCs w:val="22"/>
        </w:rPr>
        <w:t>.</w:t>
      </w:r>
    </w:p>
    <w:p>
      <w:pPr>
        <w:pStyle w:val="Normal"/>
        <w:spacing w:lineRule="exact" w:line="260" w:before="120" w:after="0"/>
        <w:jc w:val="both"/>
        <w:rPr>
          <w:rFonts w:ascii="Arial" w:hAnsi="Arial" w:cs="Arial"/>
          <w:sz w:val="22"/>
          <w:szCs w:val="22"/>
        </w:rPr>
      </w:pPr>
      <w:r>
        <w:rPr>
          <w:rFonts w:cs="Arial" w:ascii="Arial" w:hAnsi="Arial"/>
          <w:color w:val="000000"/>
          <w:sz w:val="22"/>
          <w:szCs w:val="22"/>
        </w:rPr>
        <w:t>Si</w:t>
      </w:r>
      <w:r>
        <w:rPr>
          <w:rFonts w:cs="Arial" w:ascii="Arial" w:hAnsi="Arial"/>
          <w:sz w:val="22"/>
          <w:szCs w:val="22"/>
        </w:rPr>
        <w:t xml:space="preserve"> osserva comunque come con deliberazione di Giunta Comunale n. 12 del 05/02/2025 sia stato approvato il Piano della Performance per il triennio 2025/2027, </w:t>
      </w:r>
      <w:r>
        <w:rPr>
          <w:rFonts w:cs="Arial" w:ascii="Arial" w:hAnsi="Arial"/>
          <w:color w:val="000000"/>
          <w:sz w:val="22"/>
          <w:szCs w:val="22"/>
        </w:rPr>
        <w:t>cui si fa rinvio per l’analisi di dettaglio delle performance 2025/2027 pianificate. Tale Piano verrà aggiornato con riferimento al triennio 2026-2028 con apposita delibera di Giunta Comunale di prossima approvazione.</w:t>
      </w:r>
    </w:p>
    <w:p>
      <w:pPr>
        <w:pStyle w:val="Normal"/>
        <w:spacing w:lineRule="exact" w:line="260" w:before="120" w:after="0"/>
        <w:jc w:val="both"/>
        <w:rPr>
          <w:rFonts w:ascii="Arial" w:hAnsi="Arial" w:cs="Arial"/>
          <w:color w:val="000000"/>
          <w:sz w:val="22"/>
          <w:szCs w:val="22"/>
        </w:rPr>
      </w:pPr>
      <w:r>
        <w:rPr>
          <w:rFonts w:cs="Arial" w:ascii="Arial" w:hAnsi="Arial"/>
          <w:color w:val="000000"/>
          <w:sz w:val="22"/>
          <w:szCs w:val="22"/>
        </w:rPr>
        <w:t xml:space="preserve">L’Unione Terre di Castelli, </w:t>
      </w:r>
      <w:r>
        <w:rPr>
          <w:rFonts w:cs="Arial" w:ascii="Arial" w:hAnsi="Arial"/>
          <w:color w:val="auto"/>
          <w:sz w:val="22"/>
          <w:szCs w:val="22"/>
        </w:rPr>
        <w:t>a seguito di accordo con gli enti ad essa aderenti</w:t>
      </w:r>
      <w:r>
        <w:rPr>
          <w:rFonts w:cs="Arial" w:ascii="Arial" w:hAnsi="Arial"/>
          <w:color w:val="000000"/>
          <w:sz w:val="22"/>
          <w:szCs w:val="22"/>
        </w:rPr>
        <w:t>, ha inoltre approvato i seguenti atti che riguardano anche il Comune di Guiglia:</w:t>
      </w:r>
    </w:p>
    <w:p>
      <w:pPr>
        <w:pStyle w:val="ListParagraph"/>
        <w:numPr>
          <w:ilvl w:val="0"/>
          <w:numId w:val="27"/>
        </w:numPr>
        <w:spacing w:lineRule="exact" w:line="260" w:before="120" w:after="0"/>
        <w:contextualSpacing/>
        <w:jc w:val="both"/>
        <w:rPr>
          <w:rFonts w:ascii="Arial" w:hAnsi="Arial" w:cs="Arial"/>
          <w:sz w:val="22"/>
          <w:szCs w:val="22"/>
        </w:rPr>
      </w:pPr>
      <w:r>
        <w:rPr>
          <w:rFonts w:cs="Arial" w:ascii="Arial" w:hAnsi="Arial"/>
          <w:sz w:val="22"/>
          <w:szCs w:val="22"/>
        </w:rPr>
        <w:t>Piano Triennale delle Azioni Positive degli Enti dell’area dell’Unione Terre di Castelli approvato nell’ambito del proprio Piao dalla Giunta dell’Unione con delibera n. 27 del 27/03/2025;</w:t>
      </w:r>
    </w:p>
    <w:p>
      <w:pPr>
        <w:pStyle w:val="ListParagraph"/>
        <w:numPr>
          <w:ilvl w:val="0"/>
          <w:numId w:val="21"/>
        </w:numPr>
        <w:spacing w:lineRule="exact" w:line="260" w:before="120" w:after="0"/>
        <w:contextualSpacing/>
        <w:jc w:val="both"/>
        <w:rPr>
          <w:rFonts w:ascii="Arial" w:hAnsi="Arial" w:cs="Arial"/>
          <w:color w:val="000000"/>
          <w:sz w:val="22"/>
          <w:szCs w:val="22"/>
        </w:rPr>
      </w:pPr>
      <w:r>
        <w:rPr>
          <w:rFonts w:cs="Arial" w:ascii="Arial" w:hAnsi="Arial"/>
          <w:color w:val="000000"/>
          <w:sz w:val="22"/>
          <w:szCs w:val="22"/>
        </w:rPr>
        <w:t xml:space="preserve">Piano Triennale per la Transizione digitale 2024-2026 approvato con delibera di Giunta </w:t>
      </w:r>
      <w:r>
        <w:rPr>
          <w:rFonts w:cs="Arial" w:ascii="Arial" w:hAnsi="Arial"/>
          <w:sz w:val="22"/>
          <w:szCs w:val="22"/>
        </w:rPr>
        <w:t>dell’Unione n. 16 del 27/02/2025.</w:t>
      </w:r>
    </w:p>
    <w:p>
      <w:pPr>
        <w:pStyle w:val="Default"/>
        <w:tabs>
          <w:tab w:val="clear" w:pos="720"/>
          <w:tab w:val="left" w:pos="288" w:leader="none"/>
        </w:tabs>
        <w:spacing w:lineRule="exact" w:line="260" w:before="120" w:after="0"/>
        <w:ind w:hanging="283" w:left="283"/>
        <w:jc w:val="both"/>
        <w:rPr>
          <w:rFonts w:ascii="Arial" w:hAnsi="Arial" w:cs="Arial"/>
          <w:sz w:val="22"/>
          <w:szCs w:val="22"/>
        </w:rPr>
      </w:pPr>
      <w:r>
        <w:rPr>
          <w:rFonts w:cs="Arial" w:ascii="Arial" w:hAnsi="Arial"/>
          <w:sz w:val="22"/>
          <w:szCs w:val="22"/>
        </w:rPr>
      </w:r>
    </w:p>
    <w:p>
      <w:pPr>
        <w:pStyle w:val="Titolo21"/>
        <w:numPr>
          <w:ilvl w:val="1"/>
          <w:numId w:val="2"/>
        </w:numPr>
        <w:ind w:hanging="567" w:left="567"/>
        <w:rPr/>
      </w:pPr>
      <w:bookmarkStart w:id="14" w:name="_Toc188008160"/>
      <w:r>
        <w:rPr/>
        <w:t>Sottosezione: Rischi corruttivi e trasparenza</w:t>
      </w:r>
      <w:bookmarkEnd w:id="14"/>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In questa sottosezione, sulla base degli obiettivi strategici definiti dall’organo di indirizzo, viene indicato come l’ente individua, analizza e contiene i rischi corruttivi connessi alla propria attività istituzionale. Il ciclo di gestione del rischio adottato è coerente con quanto indicato nel Piano nazionale anticorruzione (PNA) 2019 (specificatamente l’Allegato 1 “Indicazioni metodologiche per la gestione dei rischi corruttivi”) e più in generale nella legge n. 190 del 2012 e, per quanto concerne la trasparenza, nel decreto legislativo n. 33 del 2013. La Struttura del Piano è altresì coerente con quanto previsto dalle Linee guida per la stesura del PIAO.</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Per il triennio 2025/2027 il Comune ha provveduto ad approvare il Piano triennale di Prevenzione della Corruzione e della Trasparenza (Sottosezione 2.3 del PIAO 2025-2027) con deliberazione di Giunta Comunale n. 9/2025.</w:t>
      </w:r>
    </w:p>
    <w:p>
      <w:pPr>
        <w:pStyle w:val="Normal"/>
        <w:jc w:val="both"/>
        <w:rPr>
          <w:rFonts w:ascii="Arial" w:hAnsi="Arial" w:cs="Arial"/>
          <w:sz w:val="22"/>
          <w:szCs w:val="22"/>
        </w:rPr>
      </w:pPr>
      <w:r>
        <w:rPr>
          <w:rFonts w:cs="Arial" w:ascii="Arial" w:hAnsi="Arial"/>
          <w:sz w:val="22"/>
          <w:szCs w:val="22"/>
        </w:rPr>
        <w:t xml:space="preserve">L’approfondimento rispetto ai piccoli Comuni (con popolazione inferiore a 15.000 abitanti) è senz’altro il più innovativo dei focus presenti nel PNA 2016, in quanto Anac fornisce elementi ed interpretazioni per “garantire idoneità di risorse e mezzi e assicurare una risposta alla corruzione non solo locale ma più propriamente territoriale e unitaria”, prevedendo la possibilità che l’Unione predisponga un unico PTPC, distinguendo tra funzioni svolte direttamente dall’Unione e funzioni rimaste in capo ai singoli Comuni. Al momento, tuttavia, lo Statuto dell’Unione Terre di castelli, cui il Comune di Marano sul Panaro ha trasferito diverse funzioni, non prevede la gestione associata della funzione di prevenzione della corruzione, per cui il Comune di Marano sul Panaro è tenuto a predisporre autonomamente il proprio PTPC, rinviando al Piano dell’Unione per le sole funzioni trasferite. Con Delibera n. 1074 del 21 novembre 2018 il Consiglio di ANAC ha approvato in via definitiva l’Aggiornamento 2018 al Piano Nazionale Anticorruzione, contenente una parte generale, finalizzata a fornire a tutti i soggetti destinatari del PNA chiarimenti in merito ai dubbi interpretativi sorti per la corretta interpretazione della disciplina in materia di prevenzione della corruzione, ed alcuni approfondimenti tematici, in particolare per confermare ed individuare modalità semplificate di applicazione degli obblighi di pubblicità, trasparenza e prevenzione della corruzione per i piccoli Comuni. </w:t>
      </w:r>
    </w:p>
    <w:p>
      <w:pPr>
        <w:pStyle w:val="Normal"/>
        <w:jc w:val="both"/>
        <w:rPr>
          <w:rFonts w:ascii="Arial" w:hAnsi="Arial" w:cs="Arial"/>
          <w:sz w:val="22"/>
          <w:szCs w:val="22"/>
        </w:rPr>
      </w:pPr>
      <w:r>
        <w:rPr>
          <w:rFonts w:cs="Arial" w:ascii="Arial" w:hAnsi="Arial"/>
          <w:sz w:val="22"/>
          <w:szCs w:val="22"/>
          <w:highlight w:val="white"/>
        </w:rPr>
        <w:t>Con delibera n. 1064 del 13 novembre 2019, ANAC ha approvato il Piano Nazionale Anticorruzione 2019, che si compone di una Parte generale, con la quale sono stati rivisti ed integrati tutti gli orientamenti maturati nel corso del tempo dall’Autorità, e da n. 3 Allegati.</w:t>
      </w:r>
    </w:p>
    <w:p>
      <w:pPr>
        <w:pStyle w:val="Normal"/>
        <w:jc w:val="both"/>
        <w:rPr>
          <w:rFonts w:ascii="Arial" w:hAnsi="Arial" w:cs="Arial"/>
          <w:sz w:val="22"/>
          <w:szCs w:val="22"/>
        </w:rPr>
      </w:pPr>
      <w:r>
        <w:rPr>
          <w:rFonts w:cs="Arial" w:ascii="Arial" w:hAnsi="Arial"/>
          <w:sz w:val="22"/>
          <w:szCs w:val="22"/>
        </w:rPr>
        <w:t>In data 16 novembre 2022, il Consiglio di Anac ha approvato il Piano Nazionale Anticorruzione 2022, valido per il triennio 2023-2025, composto da una Parte generale e da n. 11 Allegati ed in data 19 dicembre 2023, con delibera n. 605, Anac ha approvato l’aggiornamento 2023 al PNA, dedicato in particolare ai contratti pubblici.</w:t>
      </w:r>
    </w:p>
    <w:p>
      <w:pPr>
        <w:pStyle w:val="Normal"/>
        <w:jc w:val="both"/>
        <w:rPr>
          <w:rFonts w:ascii="Arial" w:hAnsi="Arial" w:cs="Arial"/>
          <w:sz w:val="22"/>
          <w:szCs w:val="22"/>
        </w:rPr>
      </w:pPr>
      <w:r>
        <w:rPr>
          <w:rFonts w:cs="Arial" w:ascii="Arial" w:hAnsi="Arial"/>
          <w:sz w:val="22"/>
          <w:szCs w:val="22"/>
        </w:rPr>
      </w:r>
    </w:p>
    <w:p>
      <w:pPr>
        <w:pStyle w:val="Normal"/>
        <w:spacing w:lineRule="atLeast" w:line="100"/>
        <w:jc w:val="both"/>
        <w:rPr>
          <w:sz w:val="22"/>
          <w:szCs w:val="22"/>
        </w:rPr>
      </w:pPr>
      <w:r>
        <w:rPr>
          <w:rFonts w:eastAsia="Arial" w:cs="Arial" w:ascii="Arial" w:hAnsi="Arial"/>
          <w:sz w:val="22"/>
          <w:szCs w:val="22"/>
        </w:rPr>
        <w:t>Si precisa che nel presente Piano è stato applicato il nuovo approccio qualitativo introdotto dall’Allegato 1 al PNA 2019, a seguito di apposite attività di formazione e analisi svolte nel corso dell’anno 2020, con conseguente adeguamento dei criteri e della metodologia di mappatura dei processi e di gestione del rischio a partire dal PTPCT 2019-2021.</w:t>
      </w:r>
    </w:p>
    <w:p>
      <w:pPr>
        <w:pStyle w:val="Normal"/>
        <w:spacing w:lineRule="atLeast" w:line="100"/>
        <w:jc w:val="both"/>
        <w:rPr>
          <w:rFonts w:ascii="Arial" w:hAnsi="Arial" w:cs="Arial"/>
          <w:sz w:val="22"/>
          <w:szCs w:val="22"/>
        </w:rPr>
      </w:pPr>
      <w:r>
        <w:rPr>
          <w:rFonts w:cs="Arial" w:ascii="Arial" w:hAnsi="Arial"/>
          <w:sz w:val="22"/>
          <w:szCs w:val="22"/>
          <w:highlight w:val="white"/>
        </w:rPr>
        <w:t>Le previsioni contenute nella presente Sottosezione del Piano si collegano altresì, come previsto dalla normativa, con la programmazione strategica e operativa.</w:t>
      </w:r>
    </w:p>
    <w:p>
      <w:pPr>
        <w:pStyle w:val="Normal"/>
        <w:spacing w:lineRule="atLeast" w:line="100"/>
        <w:jc w:val="both"/>
        <w:rPr>
          <w:rFonts w:ascii="Arial" w:hAnsi="Arial" w:cs="Arial"/>
          <w:sz w:val="22"/>
          <w:szCs w:val="22"/>
        </w:rPr>
      </w:pPr>
      <w:r>
        <w:rPr>
          <w:rFonts w:cs="Arial" w:ascii="Arial" w:hAnsi="Arial"/>
          <w:sz w:val="22"/>
          <w:szCs w:val="22"/>
        </w:rPr>
      </w:r>
    </w:p>
    <w:p>
      <w:pPr>
        <w:pStyle w:val="Normal"/>
        <w:spacing w:lineRule="exact" w:line="260" w:before="120" w:after="0"/>
        <w:rPr>
          <w:rFonts w:ascii="Arial" w:hAnsi="Arial" w:eastAsia="" w:cs="Arial" w:eastAsiaTheme="majorEastAsia"/>
          <w:color w:themeColor="accent1" w:themeShade="bf" w:val="2F5496"/>
        </w:rPr>
      </w:pPr>
      <w:r>
        <w:rPr>
          <w:rFonts w:eastAsia="" w:cs="Arial" w:ascii="Arial" w:hAnsi="Arial" w:eastAsiaTheme="majorEastAsia"/>
          <w:color w:themeColor="accent1" w:themeShade="bf" w:val="2F5496"/>
        </w:rPr>
        <w:t>Valutazione di impatto del contesto esterno</w:t>
      </w:r>
    </w:p>
    <w:p>
      <w:pPr>
        <w:pStyle w:val="Normal"/>
        <w:jc w:val="both"/>
        <w:textAlignment w:val="top"/>
        <w:rPr>
          <w:rFonts w:ascii="Arial" w:hAnsi="Arial"/>
          <w:sz w:val="22"/>
          <w:szCs w:val="22"/>
        </w:rPr>
      </w:pPr>
      <w:r>
        <w:rPr>
          <w:rFonts w:cs="Arial" w:ascii="Arial" w:hAnsi="Arial"/>
          <w:sz w:val="22"/>
          <w:szCs w:val="22"/>
        </w:rPr>
        <w:t>Come indicato nell’Aggiornamento 2015 al Piano Nazionale Anticorruzione, l’analisi del contesto esterno ha lo scopo di “</w:t>
      </w:r>
      <w:r>
        <w:rPr>
          <w:rFonts w:cs="Arial" w:ascii="Arial" w:hAnsi="Arial"/>
          <w:i/>
          <w:sz w:val="22"/>
          <w:szCs w:val="22"/>
        </w:rPr>
        <w:t>evidenziare come le caratteristiche dell’ambiente nel quale l’amministrazione o l’ente opera, con riferimento, ad esempio, a variabili culturali, criminologiche, sociali ed economiche del territorio possano favorire il verificarsi di fenomeni corruttivi al proprio interno</w:t>
      </w:r>
      <w:r>
        <w:rPr>
          <w:rFonts w:cs="Arial" w:ascii="Arial" w:hAnsi="Arial"/>
          <w:sz w:val="22"/>
          <w:szCs w:val="22"/>
        </w:rPr>
        <w:t xml:space="preserve">”. </w:t>
      </w:r>
    </w:p>
    <w:p>
      <w:pPr>
        <w:pStyle w:val="Normal"/>
        <w:jc w:val="both"/>
        <w:textAlignment w:val="top"/>
        <w:rPr>
          <w:rFonts w:ascii="Arial" w:hAnsi="Arial" w:cs="Arial"/>
          <w:sz w:val="22"/>
          <w:szCs w:val="22"/>
        </w:rPr>
      </w:pPr>
      <w:r>
        <w:rPr>
          <w:rFonts w:cs="Arial" w:ascii="Arial" w:hAnsi="Arial"/>
          <w:sz w:val="22"/>
          <w:szCs w:val="22"/>
        </w:rPr>
        <w:t>Appare pertanto utile rilevare i fattori legati al territorio di riferimento e le relazioni e le possibili influenze esistenti con i portatori e i rappresentanti di interessi esterni, in quanto le conoscenze e la comprensione delle dinamiche territoriali di riferimento e le principali influenze e pressioni a cui una struttura è sottoposta possono consentire di indirizzare con maggiore efficacia e precisione la strategia di gestione del rischio.</w:t>
      </w:r>
    </w:p>
    <w:p>
      <w:pPr>
        <w:pStyle w:val="Default"/>
        <w:jc w:val="both"/>
        <w:textAlignment w:val="top"/>
        <w:rPr>
          <w:rFonts w:ascii="Arial" w:hAnsi="Arial" w:eastAsia="Calibri" w:cs="Arial" w:eastAsiaTheme="minorHAnsi"/>
          <w:sz w:val="22"/>
          <w:szCs w:val="22"/>
        </w:rPr>
      </w:pPr>
      <w:r>
        <w:rPr>
          <w:rFonts w:eastAsia="Calibri" w:cs="Arial" w:ascii="Arial" w:hAnsi="Arial" w:eastAsiaTheme="minorHAnsi"/>
          <w:sz w:val="22"/>
          <w:szCs w:val="22"/>
          <w:highlight w:val="white"/>
        </w:rPr>
        <w:t xml:space="preserve">Per comprendere a quali tipi di eventi corruttivi l'Amministrazione sia maggiormente esposta, si riportano una serie di informazioni sulle caratteristiche del contesto ambientale regionale (dinamiche economiche, sociali, criminologiche e culturali del territorio) contenute in apposito documento che costituisce il prodotto di una collaborazione interistituzionale, nell’ambito della “Rete per l’Integrità e la Trasparenza” della Regione Emilia-Romagna, per condividere, tra tutti i “Responsabili della prevenzione della corruzione e Trasparenza” degli enti aderenti, documenti e criteri di riferimento per la descrizione del contesto, socio-economico e criminologico, del territorio regionale emiliano-romagnolo, in fase di aggiornamento dei Piani triennali di prevenzione della corruzione e della Trasparenza delle amministrazioni. </w:t>
      </w:r>
    </w:p>
    <w:p>
      <w:pPr>
        <w:pStyle w:val="Default"/>
        <w:jc w:val="both"/>
        <w:textAlignment w:val="top"/>
        <w:rPr>
          <w:rFonts w:ascii="Arial" w:hAnsi="Arial" w:eastAsia="Calibri" w:cs="Arial" w:eastAsiaTheme="minorHAnsi"/>
          <w:sz w:val="22"/>
          <w:szCs w:val="22"/>
        </w:rPr>
      </w:pPr>
      <w:r>
        <w:rPr>
          <w:rFonts w:eastAsia="Calibri" w:cs="Arial" w:eastAsiaTheme="minorHAnsi" w:ascii="Arial" w:hAnsi="Arial"/>
          <w:sz w:val="22"/>
          <w:szCs w:val="22"/>
        </w:rPr>
      </w:r>
    </w:p>
    <w:p>
      <w:pPr>
        <w:pStyle w:val="Normal"/>
        <w:jc w:val="both"/>
        <w:rPr>
          <w:rFonts w:ascii="Arial" w:hAnsi="Arial" w:cs="Arial"/>
          <w:b/>
          <w:bCs/>
          <w:i/>
          <w:i/>
          <w:iCs/>
        </w:rPr>
      </w:pPr>
      <w:r>
        <w:rPr>
          <w:rFonts w:cs="Arial" w:ascii="Arial" w:hAnsi="Arial"/>
          <w:b/>
          <w:bCs/>
          <w:i/>
          <w:iCs/>
        </w:rPr>
        <w:t>Scenario economico-sociale regionale (Fonte dei dati: Unioncamere- Ufficio studi)</w:t>
      </w:r>
    </w:p>
    <w:p>
      <w:pPr>
        <w:pStyle w:val="Normal"/>
        <w:rPr>
          <w:rFonts w:ascii="Arial" w:hAnsi="Arial" w:cs="Arial"/>
          <w:b/>
          <w:bCs/>
          <w:sz w:val="22"/>
          <w:szCs w:val="22"/>
        </w:rPr>
      </w:pPr>
      <w:r>
        <w:rPr>
          <w:rFonts w:cs="Arial" w:ascii="Arial" w:hAnsi="Arial"/>
          <w:b/>
          <w:bCs/>
          <w:i/>
          <w:iCs/>
        </w:rPr>
        <w:t>(</w:t>
      </w:r>
      <w:r>
        <w:rPr>
          <w:rFonts w:cs="Arial" w:ascii="Arial" w:hAnsi="Arial"/>
          <w:b/>
          <w:bCs/>
          <w:sz w:val="22"/>
          <w:szCs w:val="22"/>
        </w:rPr>
        <w:t>Contesto economico)</w:t>
      </w:r>
    </w:p>
    <w:p>
      <w:pPr>
        <w:pStyle w:val="Normal"/>
        <w:rPr>
          <w:rFonts w:ascii="Arial" w:hAnsi="Arial" w:cs="Arial"/>
          <w:b/>
          <w:bCs/>
          <w:sz w:val="22"/>
          <w:szCs w:val="22"/>
          <w:highlight w:val="yellow"/>
        </w:rPr>
      </w:pPr>
      <w:r>
        <w:rPr>
          <w:rFonts w:cs="Arial" w:ascii="Arial" w:hAnsi="Arial"/>
          <w:b/>
          <w:bCs/>
          <w:sz w:val="22"/>
          <w:szCs w:val="22"/>
          <w:highlight w:val="yellow"/>
        </w:rPr>
      </w:r>
    </w:p>
    <w:p>
      <w:pPr>
        <w:pStyle w:val="Normal"/>
        <w:jc w:val="both"/>
        <w:rPr>
          <w:rFonts w:ascii="Arial" w:hAnsi="Arial" w:cs="Arial"/>
          <w:b/>
          <w:bCs/>
          <w:sz w:val="22"/>
          <w:szCs w:val="22"/>
          <w:highlight w:val="yellow"/>
        </w:rPr>
      </w:pPr>
      <w:r>
        <w:rPr>
          <w:rFonts w:cs="Arial" w:ascii="Arial" w:hAnsi="Arial"/>
          <w:b/>
          <w:bCs/>
          <w:sz w:val="22"/>
          <w:szCs w:val="22"/>
          <w:highlight w:val="yellow"/>
        </w:rPr>
      </w:r>
    </w:p>
    <w:p>
      <w:pPr>
        <w:pStyle w:val="Normal"/>
        <w:jc w:val="both"/>
        <w:rPr>
          <w:rFonts w:ascii="Arial" w:hAnsi="Arial" w:cs="Arial"/>
          <w:b/>
          <w:sz w:val="22"/>
          <w:szCs w:val="22"/>
        </w:rPr>
      </w:pPr>
      <w:r>
        <w:rPr>
          <w:rFonts w:cs="Arial" w:ascii="Arial" w:hAnsi="Arial"/>
          <w:b/>
          <w:sz w:val="22"/>
          <w:szCs w:val="22"/>
        </w:rPr>
        <w:t>“</w:t>
      </w:r>
      <w:r>
        <w:rPr>
          <w:rFonts w:cs="Arial" w:ascii="Arial" w:hAnsi="Arial"/>
          <w:b/>
          <w:sz w:val="22"/>
          <w:szCs w:val="22"/>
        </w:rPr>
        <w:t>L’economia mondiale</w:t>
      </w:r>
    </w:p>
    <w:p>
      <w:pPr>
        <w:pStyle w:val="Normal"/>
        <w:jc w:val="both"/>
        <w:rPr>
          <w:rFonts w:ascii="Arial" w:hAnsi="Arial" w:cs="Arial"/>
          <w:sz w:val="22"/>
          <w:szCs w:val="22"/>
        </w:rPr>
      </w:pPr>
      <w:r>
        <w:rPr>
          <w:rFonts w:cs="Arial" w:ascii="Arial" w:hAnsi="Arial"/>
          <w:sz w:val="22"/>
          <w:szCs w:val="22"/>
        </w:rPr>
        <w:t xml:space="preserve">Il Fondo monetario internazionale (World Economic Outlook, ottobre 2025) sottolinea come le regole dell’economia globale sono in divenire, dopo che a partire dallo scorso febbraio gli Stati Uniti hanno avviato una nuova politica tariffaria, successivamente più volte variata e complessivamente mitigata da accordi individuali tra paesi. L’economia mondiale si sta adattando a un nuovo quadro caratterizzato da protezionismo e frammentazione, che dovrebbe condurre a una crescita più contenuta. Molti dei paesi economicamente più importanti hanno adottato politiche fiscali più espansive sollevando dubbi sulla sostenibilità delle pubbliche finanze. </w:t>
      </w:r>
    </w:p>
    <w:p>
      <w:pPr>
        <w:pStyle w:val="Normal"/>
        <w:jc w:val="both"/>
        <w:rPr>
          <w:rFonts w:ascii="Arial" w:hAnsi="Arial" w:cs="Arial"/>
          <w:sz w:val="22"/>
          <w:szCs w:val="22"/>
        </w:rPr>
      </w:pPr>
      <w:r>
        <w:rPr>
          <w:rFonts w:cs="Arial" w:ascii="Arial" w:hAnsi="Arial"/>
          <w:sz w:val="22"/>
          <w:szCs w:val="22"/>
        </w:rPr>
        <w:t xml:space="preserve">Nelle previsioni la crescita globale nel 2025 (+3,2 per cento) risulterà solo lievemente più contenuta dell’anno precedente e verrà limata ulteriormente al 3,1 per cento nel 2026. La dinamica del commercio mondiale dovrebbe mostrare una certa resistenza nel 2025 (+3,5 per cento) per poi rallentare nel 2026 (+2,3 per cento), con sensibili variazioni nei flussi. L’inflazione nelle economie avanzate dovrebbe tendere a ridursi al 2,5 per cento nel 2025 e poi al 2,2 per cento nel 2026. </w:t>
      </w:r>
    </w:p>
    <w:p>
      <w:pPr>
        <w:pStyle w:val="Normal"/>
        <w:jc w:val="both"/>
        <w:rPr>
          <w:rFonts w:ascii="Arial" w:hAnsi="Arial" w:cs="Arial"/>
          <w:sz w:val="22"/>
          <w:szCs w:val="22"/>
        </w:rPr>
      </w:pPr>
      <w:r>
        <w:rPr>
          <w:rFonts w:cs="Arial" w:ascii="Arial" w:hAnsi="Arial"/>
          <w:sz w:val="22"/>
          <w:szCs w:val="22"/>
        </w:rPr>
        <w:t xml:space="preserve">Una serie di fattori di rischio potrebbe incidere negativamente su questo scenario: un rafforzamento delle politiche protezionistiche e delle tensioni commerciali, un’eccesiva crescita del debito sovrano, una fase di instabilità dei mercati finanziari, un acuirsi dei conflitti regionali in corso. </w:t>
      </w:r>
    </w:p>
    <w:p>
      <w:pPr>
        <w:pStyle w:val="Normal"/>
        <w:jc w:val="both"/>
        <w:rPr>
          <w:rFonts w:ascii="Arial" w:hAnsi="Arial" w:cs="Arial"/>
          <w:sz w:val="22"/>
          <w:szCs w:val="22"/>
        </w:rPr>
      </w:pPr>
      <w:r>
        <w:rPr>
          <w:rFonts w:cs="Arial" w:ascii="Arial" w:hAnsi="Arial"/>
          <w:sz w:val="22"/>
          <w:szCs w:val="22"/>
        </w:rPr>
        <w:t xml:space="preserve">Secondo le stime del Fondo monetario internazionale, negli Stati Uniti la crescita del prodotto interno lordo si ridurrà significativamente al 2,0 per cento nel 2025 e resterà sostanzialmente stabile l’anno prossimo (+2,1 per cento), sostenuta dalla politica fiscale espansiva e dall’allentamento della politica monetaria da parte della Banca centrale (Fed), ma contenuta dall’incertezza politica, dalle limitazioni commerciali e da una minore crescita della forza lavoro e dell’occupazione. </w:t>
      </w:r>
    </w:p>
    <w:p>
      <w:pPr>
        <w:pStyle w:val="Normal"/>
        <w:jc w:val="both"/>
        <w:rPr>
          <w:rFonts w:ascii="Arial" w:hAnsi="Arial" w:cs="Arial"/>
          <w:sz w:val="22"/>
          <w:szCs w:val="22"/>
        </w:rPr>
      </w:pPr>
      <w:r>
        <w:rPr>
          <w:rFonts w:cs="Arial" w:ascii="Arial" w:hAnsi="Arial"/>
          <w:sz w:val="22"/>
          <w:szCs w:val="22"/>
        </w:rPr>
        <w:t xml:space="preserve">In Cina il rallentamento della crescita economica prosegue, anche se appare più graduale, e il prodotto interno lordo dovrebbe crescere nel 2025 del 4,8 per cento per poi ridurre la sua dinamica ancora nel 2026 (4,2 per cento). Le misure governative introdotte a sostegno dell’economia hanno sostenuto i consumi. </w:t>
      </w:r>
    </w:p>
    <w:p>
      <w:pPr>
        <w:pStyle w:val="Normal"/>
        <w:jc w:val="both"/>
        <w:rPr>
          <w:rFonts w:ascii="Arial" w:hAnsi="Arial" w:cs="Arial"/>
          <w:sz w:val="22"/>
          <w:szCs w:val="22"/>
        </w:rPr>
      </w:pPr>
      <w:r>
        <w:rPr>
          <w:rFonts w:cs="Arial" w:ascii="Arial" w:hAnsi="Arial"/>
          <w:sz w:val="22"/>
          <w:szCs w:val="22"/>
        </w:rPr>
        <w:t>In Giappone, dopo una stasi nel 2024, l’attività economica dovrebbe accelerare nel 2025 (+1,1 per cento), per poi rallentare nel prossimo anno (+0,6 per cento). La dinamica è sostenuta da un’attesa ripresa della crescita dei salari reali che sosterrà i consumi controbilanciando l’incertezza delle politiche commerciali e un indebolimento della domanda estera.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Cs/>
          <w:sz w:val="22"/>
          <w:szCs w:val="22"/>
        </w:rPr>
      </w:pPr>
      <w:r>
        <w:rPr>
          <w:rFonts w:cs="Arial" w:ascii="Arial" w:hAnsi="Arial"/>
          <w:b/>
          <w:bCs/>
          <w:sz w:val="22"/>
          <w:szCs w:val="22"/>
        </w:rPr>
        <w:t>L’Unione europea</w:t>
      </w:r>
    </w:p>
    <w:p>
      <w:pPr>
        <w:pStyle w:val="Normal"/>
        <w:jc w:val="both"/>
        <w:rPr>
          <w:rFonts w:ascii="Arial" w:hAnsi="Arial" w:cs="Arial"/>
          <w:sz w:val="22"/>
          <w:szCs w:val="22"/>
        </w:rPr>
      </w:pPr>
      <w:r>
        <w:rPr>
          <w:rFonts w:cs="Arial" w:ascii="Arial" w:hAnsi="Arial"/>
          <w:sz w:val="22"/>
          <w:szCs w:val="22"/>
        </w:rPr>
        <w:t xml:space="preserve">La Commissione europea (EuropeanEconomic Forecast, novembre 2025) sottolinea come la crescita economica nell’Area dell’euro abbia accelerato rispetto all’anno precedente, nonostante il peggioramento delle condizioni esterne e una maggiore incertezza. Le esportazioni sono aumentate nel periodo precedente all’introduzione dei nuovi dazi statunitensi, ma anche gli investimenti hanno mostrato una dinamica superiore alle attese e in recupero rispetto allo scorso anno. Le previsioni assumono che il livello delle tariffe non vari nell’intervallo di previsione. </w:t>
      </w:r>
    </w:p>
    <w:p>
      <w:pPr>
        <w:pStyle w:val="Normal"/>
        <w:jc w:val="both"/>
        <w:rPr>
          <w:rFonts w:ascii="Arial" w:hAnsi="Arial" w:cs="Arial"/>
          <w:sz w:val="22"/>
          <w:szCs w:val="22"/>
        </w:rPr>
      </w:pPr>
      <w:r>
        <w:rPr>
          <w:rFonts w:cs="Arial" w:ascii="Arial" w:hAnsi="Arial"/>
          <w:sz w:val="22"/>
          <w:szCs w:val="22"/>
        </w:rPr>
        <w:t xml:space="preserve">La crescita reale del prodotto interno lordo nei paesi dell’Area dovrebbe accelerare dallo 0,9 per cento del 2024 all’1,3 per cento nel 2025 e ridursi lievemente nel 2026 (+1,2 per cento). La crescita sarà trainata da un contenuto aumento della domanda interna. </w:t>
      </w:r>
    </w:p>
    <w:p>
      <w:pPr>
        <w:pStyle w:val="Normal"/>
        <w:jc w:val="both"/>
        <w:rPr>
          <w:rFonts w:ascii="Arial" w:hAnsi="Arial" w:cs="Arial"/>
          <w:sz w:val="22"/>
          <w:szCs w:val="22"/>
        </w:rPr>
      </w:pPr>
      <w:r>
        <w:rPr>
          <w:rFonts w:cs="Arial" w:ascii="Arial" w:hAnsi="Arial"/>
          <w:sz w:val="22"/>
          <w:szCs w:val="22"/>
        </w:rPr>
        <w:t>I consumi privati dovrebbero continuare a crescere all’1,3 per cento nel biennio grazie a una graduale riduzione della propensione al risparmio, che resta elevata, e all’aumento del reddito disponibile, derivante da una buona condizione del mercato del lavoro e da un declino dell’inflazione.</w:t>
      </w:r>
    </w:p>
    <w:p>
      <w:pPr>
        <w:pStyle w:val="Normal"/>
        <w:jc w:val="both"/>
        <w:rPr>
          <w:rFonts w:ascii="Arial" w:hAnsi="Arial" w:cs="Arial"/>
          <w:sz w:val="22"/>
          <w:szCs w:val="22"/>
        </w:rPr>
      </w:pPr>
      <w:r>
        <w:rPr>
          <w:rFonts w:cs="Arial" w:ascii="Arial" w:hAnsi="Arial"/>
          <w:sz w:val="22"/>
          <w:szCs w:val="22"/>
        </w:rPr>
        <w:t>La dinamica degli investimenti invertirà la tendenza negativa precedente e ritornerà positiva nel 2025 (+2,2 per cento), poi accelererà ulteriormente nel 2026 (+2,5 per cento). In particolare, gli investimenti in attrezzature saranno spinti dalla buona condizione finanziaria delle imprese, dalla manovra fiscale attuata in Germania e da un maggiore impiego dei fondi della Recovery and Resilience Facility. Gli investimenti in costruzioni avranno lo stesso andamento, ma con una dinamica più contenuta nel 2026.</w:t>
      </w:r>
    </w:p>
    <w:p>
      <w:pPr>
        <w:pStyle w:val="Normal"/>
        <w:jc w:val="both"/>
        <w:rPr>
          <w:rFonts w:ascii="Arial" w:hAnsi="Arial" w:cs="Arial"/>
          <w:sz w:val="22"/>
          <w:szCs w:val="22"/>
        </w:rPr>
      </w:pPr>
      <w:r>
        <w:rPr>
          <w:rFonts w:cs="Arial" w:ascii="Arial" w:hAnsi="Arial"/>
          <w:sz w:val="22"/>
          <w:szCs w:val="22"/>
        </w:rPr>
        <w:t xml:space="preserve">Le esportazioni dovrebbero crescere con un ritmo più rapido quest’anno (+1,5 per cento), che sarà solo lievemente inferiore nel 2026 (+1,4 per cento). Ma nel complesso il contributo delle esportazioni nette alla crescita del prodotto interno lordo dell’Unione dovrebbe restare negativo nel biennio, a fronte della superiore dinamica delle importazioni. </w:t>
      </w:r>
    </w:p>
    <w:p>
      <w:pPr>
        <w:pStyle w:val="Normal"/>
        <w:jc w:val="both"/>
        <w:rPr>
          <w:rFonts w:ascii="Arial" w:hAnsi="Arial" w:cs="Arial"/>
          <w:sz w:val="22"/>
          <w:szCs w:val="22"/>
        </w:rPr>
      </w:pPr>
      <w:r>
        <w:rPr>
          <w:rFonts w:cs="Arial" w:ascii="Arial" w:hAnsi="Arial"/>
          <w:sz w:val="22"/>
          <w:szCs w:val="22"/>
        </w:rPr>
        <w:t>La crescita dell’occupazione rallenta rispetto al 2024, ma ci si attende che continui a procedere ancora con un passo più contenuto, sia nel 2025 (+0,6 per cento), sia nel 2026 (+0,5 per cento), così da mantenere la lenta e graduale tendenza alla riduzione del tasso di disoccupazione, che dal 6,3 del 2025 scenderà al 6,2 per cento nel 2026.</w:t>
      </w:r>
    </w:p>
    <w:p>
      <w:pPr>
        <w:pStyle w:val="Normal"/>
        <w:jc w:val="both"/>
        <w:rPr>
          <w:rFonts w:ascii="Arial" w:hAnsi="Arial" w:cs="Arial"/>
          <w:sz w:val="22"/>
          <w:szCs w:val="22"/>
        </w:rPr>
      </w:pPr>
      <w:r>
        <w:rPr>
          <w:rFonts w:cs="Arial" w:ascii="Arial" w:hAnsi="Arial"/>
          <w:sz w:val="22"/>
          <w:szCs w:val="22"/>
        </w:rPr>
        <w:t>Il processo di rientro dell’inflazione in corso dovrebbe vedere scendere la dinamica dei prezzi al consumo al 2,1 per cento nel 2025, dal precedente 2,4 per cento, e contenerla ulteriormente nel 2026 (+1,9 per cento), riportandola al di sotto del livello obiettivo della Bce.</w:t>
      </w:r>
    </w:p>
    <w:p>
      <w:pPr>
        <w:pStyle w:val="Normal"/>
        <w:jc w:val="both"/>
        <w:rPr>
          <w:rFonts w:ascii="Arial" w:hAnsi="Arial" w:cs="Arial"/>
          <w:sz w:val="22"/>
          <w:szCs w:val="22"/>
        </w:rPr>
      </w:pPr>
      <w:r>
        <w:rPr>
          <w:rFonts w:cs="Arial" w:ascii="Arial" w:hAnsi="Arial"/>
          <w:sz w:val="22"/>
          <w:szCs w:val="22"/>
        </w:rPr>
        <w:t>Coerentemente con questa tendenza, con effetto lo scorso giugno, la Banca Centrale Europea ha tagliato di altri 0,25 punti percentuali i suoi tre tassi di interesse di riferimento, per l’ottava volta di seguito dopo l’avvio della fase di allentamento nel giugno 2024, portandoli nell’intervallo tra il 2,00 e il 2,40 per cento, e ha successivamente dichiarato la sua politica monetaria equilibrata e guidata dai dati a fronte dell’aumentata incertezza internazionale.</w:t>
      </w:r>
    </w:p>
    <w:p>
      <w:pPr>
        <w:pStyle w:val="Normal"/>
        <w:jc w:val="both"/>
        <w:rPr>
          <w:rFonts w:ascii="Arial" w:hAnsi="Arial" w:cs="Arial"/>
          <w:sz w:val="22"/>
          <w:szCs w:val="22"/>
        </w:rPr>
      </w:pPr>
      <w:r>
        <w:rPr>
          <w:rFonts w:cs="Arial" w:ascii="Arial" w:hAnsi="Arial"/>
          <w:sz w:val="22"/>
          <w:szCs w:val="22"/>
        </w:rPr>
        <w:t>La politica fiscale dovrebbe mantenere una connotazione neutrale nel biennio, ma con forti differenze tra i paesi membri. Il disavanzo pubblico sarà sostenuto dall’aumento degli investimenti pubblici e delle spese per la difesa, insieme con la crescita della spesa per interessi. Nell’area dell’euro il deficit dovrebbe salire dal 3,1 per cento dello scorso anno al 3,2 per cento nel 2025 e ancora al 3,3 per cento nel 2026.</w:t>
      </w:r>
    </w:p>
    <w:p>
      <w:pPr>
        <w:pStyle w:val="Normal"/>
        <w:jc w:val="both"/>
        <w:rPr>
          <w:rFonts w:ascii="Arial" w:hAnsi="Arial" w:cs="Arial"/>
          <w:sz w:val="22"/>
          <w:szCs w:val="22"/>
        </w:rPr>
      </w:pPr>
      <w:r>
        <w:rPr>
          <w:rFonts w:cs="Arial" w:ascii="Arial" w:hAnsi="Arial"/>
          <w:sz w:val="22"/>
          <w:szCs w:val="22"/>
        </w:rPr>
        <w:t xml:space="preserve">Il rapporto tra debito lordo delle pubbliche amministrazioni e Pil è aumentato e tenderà ancora a crescere e più rapidamente, passando dall’88,1 del 2024, all’88,8 nel 2025 e all’89,8 per cento nel 2026, per effetto di deficit elevati non vengono controbilanciati da una adeguata crescita dell’attività. </w:t>
      </w:r>
    </w:p>
    <w:p>
      <w:pPr>
        <w:pStyle w:val="Normal"/>
        <w:jc w:val="both"/>
        <w:rPr>
          <w:rFonts w:ascii="Arial" w:hAnsi="Arial" w:cs="Arial"/>
          <w:sz w:val="22"/>
          <w:szCs w:val="22"/>
        </w:rPr>
      </w:pPr>
      <w:r>
        <w:rPr>
          <w:rFonts w:cs="Arial" w:ascii="Arial" w:hAnsi="Arial"/>
          <w:sz w:val="22"/>
          <w:szCs w:val="22"/>
        </w:rPr>
        <w:t>Dopo un biennio in recessione il prodotto interno lordo in Germania crescerà di paio di decimali nel 2025 (+0,2 per cento), per avviare una fase di recupero dal 2026 (+1,2 per cento), sostenuta dalla spesa pubblica e dalla crescita salariale a controbilanciare un impatto negativo sulle esportazioni.</w:t>
      </w:r>
    </w:p>
    <w:p>
      <w:pPr>
        <w:pStyle w:val="Normal"/>
        <w:jc w:val="both"/>
        <w:rPr>
          <w:rFonts w:ascii="Arial" w:hAnsi="Arial" w:cs="Arial"/>
          <w:sz w:val="22"/>
          <w:szCs w:val="22"/>
        </w:rPr>
      </w:pPr>
      <w:r>
        <w:rPr>
          <w:rFonts w:cs="Arial" w:ascii="Arial" w:hAnsi="Arial"/>
          <w:sz w:val="22"/>
          <w:szCs w:val="22"/>
        </w:rPr>
        <w:t>Al contrario, nel 2025 la crescita dell’attività economica in Francia rallenterà nel 2025 (+0,7 per cento) e non sarà sostanzialmente superiore nel 2026 (+0,9 per cento), gravata dall’incertezza, in ambito politico e economico, e da un necessario aggiustamento del bilancio pubblico che graverà sulla domanda interna.</w:t>
      </w:r>
    </w:p>
    <w:p>
      <w:pPr>
        <w:pStyle w:val="Normal"/>
        <w:jc w:val="both"/>
        <w:rPr>
          <w:rFonts w:ascii="Arial" w:hAnsi="Arial" w:cs="Arial"/>
          <w:sz w:val="22"/>
          <w:szCs w:val="22"/>
        </w:rPr>
      </w:pPr>
      <w:r>
        <w:rPr>
          <w:rFonts w:cs="Arial" w:ascii="Arial" w:hAnsi="Arial"/>
          <w:sz w:val="22"/>
          <w:szCs w:val="22"/>
        </w:rPr>
        <w:t>La dinamica del prodotto interno lordo spagnolo resta chiaramente la più elevata tra quella delle quattro maggiori economie dell’area, nonostante un rallentamento nel 2025 (+2,9 per cento) che proseguirà anche nel 2026 (+2,3 per cento), guidata dalla domanda interna, sostenuta sia da una buona condizione del mercato del lavoro, che spinge i consumi, sia dagli investimenti.</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Cs/>
          <w:sz w:val="22"/>
          <w:szCs w:val="22"/>
        </w:rPr>
      </w:pPr>
      <w:r>
        <w:rPr>
          <w:rFonts w:cs="Arial" w:ascii="Arial" w:hAnsi="Arial"/>
          <w:b/>
          <w:bCs/>
          <w:sz w:val="22"/>
          <w:szCs w:val="22"/>
        </w:rPr>
        <w:t>L’Italia</w:t>
      </w:r>
    </w:p>
    <w:p>
      <w:pPr>
        <w:pStyle w:val="Normal"/>
        <w:jc w:val="both"/>
        <w:rPr>
          <w:rFonts w:ascii="Arial" w:hAnsi="Arial" w:cs="Arial"/>
          <w:sz w:val="22"/>
          <w:szCs w:val="22"/>
        </w:rPr>
      </w:pPr>
      <w:r>
        <w:rPr>
          <w:rFonts w:cs="Arial" w:ascii="Arial" w:hAnsi="Arial"/>
          <w:sz w:val="22"/>
          <w:szCs w:val="22"/>
        </w:rPr>
        <w:t xml:space="preserve">Secondo Prometeia, la crescita del prodotto interno lordo nel 2025 non andrà oltre lo 0,5 per cento, frenata dalla persistente debolezza dei consumi, nonostante la ripresa degli investimenti, tenuto conto di un contributo alla crescita negativo da parte delle esportazioni nette e con una politica fiscale neutrale per perseguire il rientro dell’indebitamento al di sotto della soglia del 3,0 per cento. Sotto queste condizioni, le prospettive di crescita per il 2026 non variano sostanzialmente (+0,7 per cento). </w:t>
      </w:r>
    </w:p>
    <w:p>
      <w:pPr>
        <w:pStyle w:val="Normal"/>
        <w:jc w:val="both"/>
        <w:rPr>
          <w:rFonts w:ascii="Arial" w:hAnsi="Arial" w:cs="Arial"/>
          <w:sz w:val="22"/>
          <w:szCs w:val="22"/>
        </w:rPr>
      </w:pPr>
      <w:r>
        <w:rPr>
          <w:rFonts w:cs="Arial" w:ascii="Arial" w:hAnsi="Arial"/>
          <w:sz w:val="22"/>
          <w:szCs w:val="22"/>
        </w:rPr>
        <w:t xml:space="preserve">I consumi delle famiglie aumenteranno solo lievemente anche nel 2025 (+0,6 per cento), come pure nel 2026 (+0,7 per cento), stante la limitata crescita del reddito disponibile, nonostante il rientro dell’inflazione. Nel 2024 gli investimenti sono rimasti invariati, compensando la flessione di quelli industriali con la coda della tendenza positiva di quelli in costruzioni. Nel 2025 si dovrebbe avere una ripresa degli investimenti (+2,9 per cento), sostenuta sia da quelli strumentali, sia da quelli in costruzioni. Successivamente, a fronte di un arretramento degli investimenti in costruzioni, nonostante una forte accelerazione di quelli in attrezzature, il ritmo del processo di accumulazione rallenterà nuovamente (+1,9 per cento). La politica commerciale protezionistica statunitense, soprattutto con l’incertezza introdotta, influenza con decisione i flussi commerciali. Ci si attende che nel 2025 le esportazioni italiane di beni e servizi non crescano più dello 0,7 per cento, mentre per il 2026 è previsto un rafforzamento dei flussi commerciali e un aumento delle esportazioni dell’1,3 per cento, grazie anche alla ripresa del ciclo economico in Germania. </w:t>
      </w:r>
    </w:p>
    <w:p>
      <w:pPr>
        <w:pStyle w:val="Normal"/>
        <w:jc w:val="both"/>
        <w:rPr>
          <w:rFonts w:ascii="Arial" w:hAnsi="Arial" w:cs="Arial"/>
          <w:sz w:val="22"/>
          <w:szCs w:val="22"/>
        </w:rPr>
      </w:pPr>
      <w:r>
        <w:rPr>
          <w:rFonts w:cs="Arial" w:ascii="Arial" w:hAnsi="Arial"/>
          <w:sz w:val="22"/>
          <w:szCs w:val="22"/>
        </w:rPr>
        <w:t xml:space="preserve">La dinamica dei prezzi al consumo, dopo essersi ridotta decisamente nel 2024 (+1,0 per cento), ha avuto un rimbalzo nel 2025 (+1,6 per cento) e dovrebbe confermare questo ritmo anche nel 2026 (+1,7 per cento), rimanendo al di sotto dell’obiettivo della Bce. </w:t>
      </w:r>
    </w:p>
    <w:p>
      <w:pPr>
        <w:pStyle w:val="Normal"/>
        <w:jc w:val="both"/>
        <w:rPr>
          <w:rFonts w:ascii="Arial" w:hAnsi="Arial" w:cs="Arial"/>
          <w:sz w:val="22"/>
          <w:szCs w:val="22"/>
        </w:rPr>
      </w:pPr>
      <w:r>
        <w:rPr>
          <w:rFonts w:cs="Arial" w:ascii="Arial" w:hAnsi="Arial"/>
          <w:sz w:val="22"/>
          <w:szCs w:val="22"/>
        </w:rPr>
        <w:t>Il mercato del lavoro rimane solido. Nel 2025 l’occupazione cresce ancora (+1,0 per cento), anche se in misura più contenuta rispetto al 2024, e il tasso di disoccupazione scende a un livello minimo non osservato da decenni (6,2 per cento). Per i prossimi anni, tenuto conto della diminuzione della popolazione in età da lavoro, nonostante un tasso di partecipazione crescente, si prospetta una crescita più contenuta delle forze di lavoro. Nel 2026 la crescita degli occupati risulterà ancora più limitata (+0,3 per cento) e il tasso di disoccupazione resterà invariato (6,2 per cento).</w:t>
      </w:r>
    </w:p>
    <w:p>
      <w:pPr>
        <w:pStyle w:val="Normal"/>
        <w:jc w:val="both"/>
        <w:rPr>
          <w:rFonts w:ascii="Arial" w:hAnsi="Arial" w:cs="Arial"/>
          <w:sz w:val="22"/>
          <w:szCs w:val="22"/>
        </w:rPr>
      </w:pPr>
      <w:r>
        <w:rPr>
          <w:rFonts w:cs="Arial" w:ascii="Arial" w:hAnsi="Arial"/>
          <w:sz w:val="22"/>
          <w:szCs w:val="22"/>
        </w:rPr>
        <w:t>Gli investimenti pubblici aumentano, ma si riduce la spesa primaria corrente e salgono le entrate, migliora quindi il saldo primario (positivo) che, nonostante una spesa per interessi in crescita contenuta, ridurrà l’indebitamento netto in rapporto al Pil al 3,1 per cento nel 2025. Tenuto conto dei provvedimenti in finanziaria, questo rapporto scenderà al 2,8 per cento nel 2026, portando l’Italia fuori dalla procedura di infrazione per indebitamento eccessivo. Poiché l’effetto positivo della crescita economica continuerà a essere inferiore a quello negativo del costo del debito, il rapporto tra debito pubblico e Pil ha ripreso e continua a crescere, gravato anche dalla contabilizzazione ai fini del calcolo del debito dei crediti fiscali edilizi secondo il criterio di cassa. Quindi il rapporto passerà dal 134,9 del 2024 al 136,8 per l’anno in corso, ma dovrebbe poi salire ancora al 138,1 nel 2026.</w:t>
      </w:r>
    </w:p>
    <w:p>
      <w:pPr>
        <w:pStyle w:val="Normal"/>
        <w:jc w:val="both"/>
        <w:rPr>
          <w:rFonts w:ascii="Arial" w:hAnsi="Arial" w:cs="Arial"/>
          <w:sz w:val="22"/>
          <w:szCs w:val="22"/>
        </w:rPr>
      </w:pPr>
      <w:r>
        <w:rPr>
          <w:rFonts w:cs="Arial" w:ascii="Arial" w:hAnsi="Arial"/>
          <w:sz w:val="22"/>
          <w:szCs w:val="22"/>
        </w:rPr>
      </w:r>
      <w:bookmarkStart w:id="15" w:name="_Hlk36660835"/>
      <w:bookmarkStart w:id="16" w:name="_Hlk95823493"/>
      <w:bookmarkStart w:id="17" w:name="_Hlk36660835"/>
      <w:bookmarkStart w:id="18" w:name="_Hlk95823493"/>
      <w:bookmarkEnd w:id="17"/>
      <w:bookmarkEnd w:id="18"/>
    </w:p>
    <w:p>
      <w:pPr>
        <w:pStyle w:val="Normal"/>
        <w:jc w:val="both"/>
        <w:rPr>
          <w:rFonts w:ascii="Arial" w:hAnsi="Arial" w:cs="Arial"/>
          <w:b/>
          <w:bCs/>
          <w:sz w:val="22"/>
          <w:szCs w:val="22"/>
        </w:rPr>
      </w:pPr>
      <w:bookmarkStart w:id="19" w:name="OLE_LINK1"/>
      <w:bookmarkStart w:id="20" w:name="Copia__Hlk36660835_1"/>
      <w:bookmarkStart w:id="21" w:name="Copia__Hlk95823493_1"/>
      <w:bookmarkEnd w:id="20"/>
      <w:bookmarkEnd w:id="21"/>
      <w:r>
        <w:rPr>
          <w:rFonts w:cs="Arial" w:ascii="Arial" w:hAnsi="Arial"/>
          <w:b/>
          <w:bCs/>
          <w:sz w:val="22"/>
          <w:szCs w:val="22"/>
        </w:rPr>
        <w:t>L’economia regionale</w:t>
      </w:r>
      <w:bookmarkEnd w:id="19"/>
    </w:p>
    <w:p>
      <w:pPr>
        <w:pStyle w:val="Normal"/>
        <w:jc w:val="both"/>
        <w:rPr>
          <w:rFonts w:ascii="Arial" w:hAnsi="Arial" w:cs="Arial"/>
          <w:sz w:val="22"/>
          <w:szCs w:val="22"/>
        </w:rPr>
      </w:pPr>
      <w:r>
        <w:rPr>
          <w:rFonts w:cs="Arial" w:ascii="Arial" w:hAnsi="Arial"/>
          <w:sz w:val="22"/>
          <w:szCs w:val="22"/>
        </w:rPr>
        <w:t>Nelle stime più recenti (Prometeia, Scenari per le economie locali) la crescita del prodotto interno lordo regionale dovrebbe accelerare lievemente nel 2025 (+0,6 per cento), sostenuta dalla domanda interna, in particolare da una lieve accelerazione dei consumi e da una più marcata degli investimenti, a fronte di una nuova riduzione delle esportazioni, ma più contenuta di quella dello scorso anno. Il ritmo dell’attività economica dovrebbe accelerare lievemente il passo anche nel 2026 facendo salire il Pil dello 0,9 per cento con consumi in crescita costante, un rallentamento degli investimenti, ma soprattutto una contenuta crescita delle esportazioni. Nel lungo periodo, il Pil regionale in termini reali nel 2025 dovrebbe risultare superiore di solo il 5,1 per cento rispetto al massimo toccato nel 2007 prima della crisi finanziaria e superiore del 15,8 per cento rispetto a quello del 2000.</w:t>
      </w:r>
    </w:p>
    <w:p>
      <w:pPr>
        <w:pStyle w:val="Normal"/>
        <w:jc w:val="both"/>
        <w:rPr>
          <w:rFonts w:ascii="Arial" w:hAnsi="Arial" w:cs="Arial"/>
          <w:sz w:val="22"/>
          <w:szCs w:val="22"/>
        </w:rPr>
      </w:pPr>
      <w:r>
        <w:rPr>
          <w:rFonts w:cs="Arial" w:ascii="Arial" w:hAnsi="Arial"/>
          <w:sz w:val="22"/>
          <w:szCs w:val="22"/>
        </w:rPr>
        <w:t>Nel biennio l’andamento dell’attività in regione mostrerà un profilo sostanzialmente analogo a quello nazionale e solo lievemente più sostenuto. La crescita del prodotto interno lordo italiano si ridurrà lievemente allo 0,5 per cento nel 2025 e salirà solo allo 0,7 nel 2026. Nel lungo periodo l’andamento dell’economia regionale appare migliore rispetto a quello nazionale, ma non sostanzialmente. Il Pil italiano in termini reali nel 2025 risulterà superiore di solo l’1,9 per cento rispetto a quello del 2007 e del 10,1 per cento rispetto al livello del 2000.</w:t>
      </w:r>
    </w:p>
    <w:p>
      <w:pPr>
        <w:pStyle w:val="Normal"/>
        <w:jc w:val="both"/>
        <w:rPr>
          <w:rFonts w:ascii="Arial" w:hAnsi="Arial" w:cs="Arial"/>
          <w:sz w:val="22"/>
          <w:szCs w:val="22"/>
        </w:rPr>
      </w:pPr>
      <w:r>
        <w:rPr>
          <w:rFonts w:cs="Arial" w:ascii="Arial" w:hAnsi="Arial"/>
          <w:sz w:val="22"/>
          <w:szCs w:val="22"/>
        </w:rPr>
        <w:t>Nel 2025, la classifica della crescita economica delle regioni italiane dovrebbe essere guidata dal Veneto (+0,7 per cento) seguito da sette altre regioni, tra cui l’Emilia-Romagna e la Lombardia, con un Pil in crescita dello 0,6 per cento. Nel 2026 sarà l’Emilia-Romagna (+0,9 per cento) a passare in testa a questa classifica, seguita dal Lazio (+0,8 per cento).</w:t>
      </w:r>
    </w:p>
    <w:p>
      <w:pPr>
        <w:pStyle w:val="Normal"/>
        <w:jc w:val="both"/>
        <w:rPr>
          <w:rFonts w:ascii="Arial" w:hAnsi="Arial" w:cs="Arial"/>
          <w:sz w:val="22"/>
          <w:szCs w:val="22"/>
        </w:rPr>
      </w:pPr>
      <w:r>
        <w:rPr>
          <w:rFonts w:cs="Arial" w:ascii="Arial" w:hAnsi="Arial"/>
          <w:sz w:val="22"/>
          <w:szCs w:val="22"/>
        </w:rPr>
        <w:t xml:space="preserve">Nel 2025 la crescita dei consumi delle famiglie accelererà lievemente (+0,8 per cento) confermandosi superiore alla dinamica del Pil. Nelle stime, l’andamento dei consumi si manterrà costante (+0,8 per cento) anche nel 2026 nonostante l’accelerazione del Pil. Gli effetti sul tenore di vita nel lungo periodo sono evidenti. Nel 2025 i consumi privati aggregati risulteranno solo lievemente superiori (+1,4 per cento) rispetto a quelli del 2019, ovvero a quelli antecedenti la pandemia, e superiori di solo 11,3 punti percentuali rispetto al livello del 2000. Inoltre, rispetto a quell’anno la crescita dei consumi in regione risulterà inferiore di 4,5 punti percentuali rispetto a quella, già scarsa, del Pil. </w:t>
      </w:r>
    </w:p>
    <w:p>
      <w:pPr>
        <w:pStyle w:val="Normal"/>
        <w:jc w:val="both"/>
        <w:rPr>
          <w:rFonts w:ascii="Arial" w:hAnsi="Arial" w:cs="Arial"/>
          <w:sz w:val="22"/>
          <w:szCs w:val="22"/>
        </w:rPr>
      </w:pPr>
      <w:r>
        <w:rPr>
          <w:rFonts w:cs="Arial" w:ascii="Arial" w:hAnsi="Arial"/>
          <w:sz w:val="22"/>
          <w:szCs w:val="22"/>
        </w:rPr>
        <w:t xml:space="preserve">Nel 2025 la crescita degli investimenti fissi lordi dovrebbe mostrare una ripresa (+2,3 per cento), ma, nonostante la discesa dei tassi di interesse, la progressiva riduzione dei sostegni pubblici, in particolare, dei “bonus” a favore delle costruzioni, condurrà a un contenimento della dinamica del processo di accumulazione nel 2026 (+0,7 per cento). Anche l’evoluzione del processo di accumulazione appare debole nel lungo periodo. Nel 2025 gli investimenti in termini reali risulteranno superiori del 4,2 per cento rispetto a quelli del 2008, ovvero a quelli precedenti al declino del settore delle costruzioni, e supereranno del 24,0 per cento quelli del 2000, con un ritmo di crescita medio annuale ben inferiore all’uno per cento. </w:t>
      </w:r>
    </w:p>
    <w:p>
      <w:pPr>
        <w:pStyle w:val="Normal"/>
        <w:jc w:val="both"/>
        <w:rPr>
          <w:rFonts w:ascii="Arial" w:hAnsi="Arial" w:cs="Arial"/>
          <w:sz w:val="22"/>
          <w:szCs w:val="22"/>
        </w:rPr>
      </w:pPr>
      <w:r>
        <w:rPr>
          <w:rFonts w:cs="Arial" w:ascii="Arial" w:hAnsi="Arial"/>
          <w:sz w:val="22"/>
          <w:szCs w:val="22"/>
        </w:rPr>
        <w:t>Dopo una sostanziale flessione nel 2024, le esportazioni regionali in termini reali nel 2025 dovrebbero contenere la tendenza discendente (-1,3 per cento) e solo nel 2026 dovrebbero riprendere una contenuta crescita delle vendite all’estero regionali (+1,8 per cento). Comunque, al termine del 2025 il valore reale delle esportazioni regionali dovrebbe risultare superiore addirittura del 85,6 per cento rispetto al livello del 2000 e del 34,2 per cento rispetto a quello del 2007. Si tratta di un chiaro indicatore dell’importanza assunta dai mercati esteri per l’economia regionale, ma anche della maggiore dipendenza dell’economia regionale dai mercati esteri per sostenere l’attività e i redditi a fronte di una minore capacità di produrre valore aggiunto dall’attività svolta per l’esportazione.</w:t>
      </w:r>
    </w:p>
    <w:p>
      <w:pPr>
        <w:pStyle w:val="Normal"/>
        <w:jc w:val="both"/>
        <w:rPr>
          <w:rFonts w:ascii="Arial" w:hAnsi="Arial" w:cs="Arial"/>
          <w:sz w:val="22"/>
          <w:szCs w:val="22"/>
        </w:rPr>
      </w:pPr>
      <w:r>
        <w:rPr>
          <w:rFonts w:cs="Arial" w:ascii="Arial" w:hAnsi="Arial"/>
          <w:sz w:val="22"/>
          <w:szCs w:val="22"/>
        </w:rPr>
        <w:t xml:space="preserve">Nel 2025 dovrebbero ritornare a crescere il valore aggiunto reale dell’industria regionale e, lievemente, anche quello dei servizi, mentre a trainare la crescita regionale saranno ancora le costruzioni. L’anno prossimo accelereranno la crescita dell’attività industriale e quella dei servizi, che insieme traineranno l’economia regionale, mentre il settore delle costruzioni dovrebbe entrare in una fase di decisa recessione. </w:t>
      </w:r>
    </w:p>
    <w:p>
      <w:pPr>
        <w:pStyle w:val="Normal"/>
        <w:jc w:val="both"/>
        <w:rPr>
          <w:rFonts w:ascii="Arial" w:hAnsi="Arial" w:cs="Arial"/>
          <w:sz w:val="22"/>
          <w:szCs w:val="22"/>
        </w:rPr>
      </w:pPr>
      <w:r>
        <w:rPr>
          <w:rFonts w:cs="Arial" w:ascii="Arial" w:hAnsi="Arial"/>
          <w:sz w:val="22"/>
          <w:szCs w:val="22"/>
        </w:rPr>
        <w:t xml:space="preserve">In dettaglio, nonostante le incertezze dell’avvio dell’anno, nel 2025 il valore aggiunto reale prodotto dall’industria in senso stretto regionale dovrebbe riprendersi e mettere a segno un leggero recupero (+0,9 per cento). Nel 2026, nonostante la limitata crescita della domanda interna nazionale, la ripresa del commercio estero regionale sosterrà la crescita valore aggiunto industriale (+1,1 per cento). Quindi, nel biennio l’industria sarà la fonte più dinamica del valore aggiunto regionale. In un’ottica di lungo periodo, al termine dell’anno corrente, il valore aggiunto reale dell’industria risulterà superiore di solo il 10,2 per cento rispetto a quello del 2007, ovvero al livello massimo precedente la crisi finanziaria del 2009, a testimonianza del relativo indebolimento della capacità del settore di produrre reddito dalla sua attività. </w:t>
      </w:r>
    </w:p>
    <w:p>
      <w:pPr>
        <w:pStyle w:val="Normal"/>
        <w:jc w:val="both"/>
        <w:rPr>
          <w:rFonts w:ascii="Arial" w:hAnsi="Arial" w:cs="Arial"/>
          <w:sz w:val="22"/>
          <w:szCs w:val="22"/>
        </w:rPr>
      </w:pPr>
      <w:r>
        <w:rPr>
          <w:rFonts w:cs="Arial" w:ascii="Arial" w:hAnsi="Arial"/>
          <w:sz w:val="22"/>
          <w:szCs w:val="22"/>
        </w:rPr>
        <w:t xml:space="preserve">Quest’anno la crescita del valore aggiunto reale delle costruzioni (+2,2 per cento) dovrebbe rimanere la componente più dinamica dell’attività regionale. L’ulteriore revisione dell’ampiezza dei bonus dovrebbe condurre a un’inversione della tendenza, che potrebbe divenire negativa già nel 2026 portando le costruzioni in recessione (-2,6 per cento). Nel lungo periodo il settore delle costruzioni ha avuto un eccezionale andamento ciclico, non riescendo a trovare un equilibrio proprio e vive in un alternarsi di bolle espansive, spesso determinate da decisioni politiche, e di successive crisi, alle quali la politica non è estranea. A testimonianza di questo carattere, al termine dell’anno corrente il valore aggiunto delle costruzioni risulterà superiore del 12,9 per cento rispetto al livello del 2000, ma inferiore del 16,8 per cento rispetto ai livelli, chiaramente eccessivi, del precedente massimo toccato nel 2007. </w:t>
      </w:r>
    </w:p>
    <w:p>
      <w:pPr>
        <w:pStyle w:val="Normal"/>
        <w:jc w:val="both"/>
        <w:rPr>
          <w:rFonts w:ascii="Arial" w:hAnsi="Arial" w:cs="Arial"/>
          <w:sz w:val="22"/>
          <w:szCs w:val="22"/>
        </w:rPr>
      </w:pPr>
      <w:r>
        <w:rPr>
          <w:rFonts w:cs="Arial" w:ascii="Arial" w:hAnsi="Arial"/>
          <w:sz w:val="22"/>
          <w:szCs w:val="22"/>
        </w:rPr>
        <w:t xml:space="preserve">Il modello non ci permette di osservare in dettaglio i sottosettori dei servizi che mostrano andamenti fortemente differenziati. Nel 2025 dovrebbe riprendere una crescita contenuta del valore aggiunto del complesso dei servizi (+0,4 per cento), con la ripresa dei consumi e dell’attività nell’industria. Nel 2026, nonostante l’arretramento delle costruzioni, l’accelerazione della ripresa dell’attività nell’industria e la contenuta crescita dei consumi permetteranno, comunque, al valore aggiunto dei servizi di crescere a un ritmo più sostenuto (+1,2 per cento). Nel lungo periodo anche l’andamento di questo settore mostra una crescita del tutto insoddisfacente. Il valore aggiunto dei servizi al termine di quest’anno supererà il livello del 2008, ovvero quello antecedente la crisi finanziaria dei sub-prime, di solo l’8,9 per cento e risulterà superiore del 19,4 per cento rispetto al livello del 2000. </w:t>
      </w:r>
    </w:p>
    <w:p>
      <w:pPr>
        <w:pStyle w:val="Normal"/>
        <w:jc w:val="both"/>
        <w:rPr>
          <w:rFonts w:ascii="Arial" w:hAnsi="Arial" w:cs="Arial"/>
          <w:sz w:val="22"/>
          <w:szCs w:val="22"/>
        </w:rPr>
      </w:pPr>
      <w:r>
        <w:rPr>
          <w:rFonts w:cs="Arial" w:ascii="Arial" w:hAnsi="Arial"/>
          <w:sz w:val="22"/>
          <w:szCs w:val="22"/>
        </w:rPr>
        <w:t xml:space="preserve">Nel 2025 le forze lavoro dovrebbero avere un aumento sensibile e leggermente più rapido della crescita dell’occupazione sufficiente per determinare un rimbalzo del tasso di disoccupazione. Al contrario, il prossimo anno la dimensione del mercato del lavoro non dovrebbe aumentare per l’arresto della crescita delle forze di lavoro, mentre rallenterà quella dell’occupazione permettendo di riprendere a ridurre il tasso di disoccupazione. </w:t>
      </w:r>
    </w:p>
    <w:p>
      <w:pPr>
        <w:pStyle w:val="Normal"/>
        <w:jc w:val="both"/>
        <w:rPr>
          <w:rFonts w:ascii="Arial" w:hAnsi="Arial" w:cs="Arial"/>
          <w:sz w:val="22"/>
          <w:szCs w:val="22"/>
        </w:rPr>
      </w:pPr>
      <w:r>
        <w:rPr>
          <w:rFonts w:cs="Arial" w:ascii="Arial" w:hAnsi="Arial"/>
          <w:sz w:val="22"/>
          <w:szCs w:val="22"/>
        </w:rPr>
        <w:t xml:space="preserve">Nelle previsioni le forze di lavoro nel 2025 dovrebbero riprendere a crescere con decisione (+1,6 per cento), per poi annullare la loro dinamica nel 2026. Ma al termine di quest’anno le forze di lavoro avranno sostanzialmente la stessa consistenza avuta nel 2019 (+0,6 per cento), anche se questa risulterà superiore del 14,5 per cento rispetto al dato dell’anno 2000. Il tasso di attività, calcolato come quota della forza lavoro sulla popolazione presente in età di lavoro, dovrebbe risalire al 74,7 per cento nel 2025 per poi restare a quel livello nel 2026. </w:t>
      </w:r>
    </w:p>
    <w:p>
      <w:pPr>
        <w:pStyle w:val="Normal"/>
        <w:jc w:val="both"/>
        <w:rPr>
          <w:rFonts w:ascii="Arial" w:hAnsi="Arial" w:cs="Arial"/>
          <w:sz w:val="22"/>
          <w:szCs w:val="22"/>
        </w:rPr>
      </w:pPr>
      <w:r>
        <w:rPr>
          <w:rFonts w:cs="Arial" w:ascii="Arial" w:hAnsi="Arial"/>
          <w:sz w:val="22"/>
          <w:szCs w:val="22"/>
        </w:rPr>
        <w:t xml:space="preserve">Nel 2025 anche la crescita dell’occupazione dovrebbe accelerare sensibilmente (+1,2 per cento), ma risulterà lievemente inferiore a quella delle forze di lavoro. Il suo ritmo di crescita dovrebbe ridursi sostanzialmente nel 2026 (+0,4 per cento), ma a fronte di una stasi delle forze di lavoro. Alla fine di quest’anno l’occupazione risulterà leggermente superiore a quella riferita al 2019 (+1,5 per cento) e farà registrare un incremento del 13,1 per cento rispetto al livello del 2000. Il tasso di occupazione (calcolato come quota degli occupati sulla popolazione presente in età di lavoro) risalirà nel 2025 fino a giungere al 71,2 per cento, un livello superiore di 3,2 punti rispetto a quello dell’anno 2000, per poi aumentare nuovamente nel 2026 fino al 71,5 per cento. </w:t>
      </w:r>
    </w:p>
    <w:p>
      <w:pPr>
        <w:pStyle w:val="Normal"/>
        <w:jc w:val="both"/>
        <w:rPr>
          <w:rFonts w:ascii="Arial" w:hAnsi="Arial" w:cs="Arial"/>
          <w:sz w:val="22"/>
          <w:szCs w:val="22"/>
        </w:rPr>
      </w:pPr>
      <w:r>
        <w:rPr>
          <w:rFonts w:cs="Arial" w:ascii="Arial" w:hAnsi="Arial"/>
          <w:sz w:val="22"/>
          <w:szCs w:val="22"/>
        </w:rPr>
        <w:t>Il tasso di disoccupazione era pari al 2,8 per cento nel 2002 ed è salito fino all’8,5 per cento nel 2013 per poi gradualmente ridiscendere al 5,5 per cento nel 2019. Con la pandemia, le misure introdotte a sostegno all’occupazione e l’ampia fuoriuscita dal mercato del lavoro ne hanno contenuto l’aumento nel 2020 al 5,9 per cento. Da allora, è iniziata una fase di rientro, grazie a una dinamica dell’occupazione superiore a quella delle forze di lavoro. Questa tendenza positiva dovrebbe avere una pausa nel 2025 e il tasso di disoccupazione dovrebbe risalire leggermente rispetto all’anno precedente (4,7 per cento). Ma l’andamento discendente dovrebbe riprendere decisamente già nel 2026, grazie a una maggiore tenuta della dinamica dell’occupazione rispetto a quella della forza lavoro che fara scendere nuovamente il tasso di disoccupazione fino al 4,4 per cento.”</w:t>
      </w:r>
    </w:p>
    <w:p>
      <w:pPr>
        <w:pStyle w:val="Normal"/>
        <w:jc w:val="both"/>
        <w:rPr>
          <w:rFonts w:ascii="Arial" w:hAnsi="Arial" w:cs="Arial"/>
          <w:b/>
          <w:bCs/>
          <w:sz w:val="22"/>
          <w:szCs w:val="22"/>
          <w:highlight w:val="yellow"/>
        </w:rPr>
      </w:pPr>
      <w:r>
        <w:rPr>
          <w:rFonts w:cs="Arial" w:ascii="Arial" w:hAnsi="Arial"/>
          <w:b/>
          <w:bCs/>
          <w:sz w:val="22"/>
          <w:szCs w:val="22"/>
          <w:highlight w:val="yellow"/>
        </w:rPr>
      </w:r>
    </w:p>
    <w:p>
      <w:pPr>
        <w:pStyle w:val="Normal"/>
        <w:rPr>
          <w:rFonts w:ascii="Arial" w:hAnsi="Arial" w:cs="Arial"/>
          <w:b/>
          <w:bCs/>
          <w:sz w:val="22"/>
          <w:szCs w:val="22"/>
          <w:highlight w:val="yellow"/>
        </w:rPr>
      </w:pPr>
      <w:r>
        <w:rPr>
          <w:rFonts w:cs="Arial" w:ascii="Arial" w:hAnsi="Arial"/>
          <w:b/>
          <w:bCs/>
          <w:sz w:val="22"/>
          <w:szCs w:val="22"/>
          <w:highlight w:val="yellow"/>
        </w:rPr>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color w:val="C00000"/>
          <w:sz w:val="22"/>
          <w:szCs w:val="22"/>
        </w:rPr>
      </w:pPr>
      <w:r>
        <w:rPr>
          <w:rFonts w:cs="Arial" w:ascii="Arial" w:hAnsi="Arial"/>
          <w:color w:val="C00000"/>
          <w:sz w:val="22"/>
          <w:szCs w:val="22"/>
        </w:rPr>
      </w:r>
    </w:p>
    <w:p>
      <w:pPr>
        <w:pStyle w:val="Normal"/>
        <w:rPr>
          <w:rFonts w:ascii="Arial" w:hAnsi="Arial" w:cs="Arial"/>
          <w:b/>
          <w:bCs/>
          <w:sz w:val="22"/>
          <w:szCs w:val="22"/>
        </w:rPr>
      </w:pPr>
      <w:r>
        <w:rPr>
          <w:rFonts w:cs="Arial" w:ascii="Arial" w:hAnsi="Arial"/>
          <w:b/>
          <w:bCs/>
          <w:sz w:val="22"/>
          <w:szCs w:val="22"/>
        </w:rPr>
      </w:r>
    </w:p>
    <w:p>
      <w:pPr>
        <w:pStyle w:val="Normal"/>
        <w:rPr>
          <w:rFonts w:ascii="Arial" w:hAnsi="Arial" w:cs="Arial"/>
          <w:b/>
          <w:bCs/>
          <w:sz w:val="22"/>
          <w:szCs w:val="22"/>
        </w:rPr>
      </w:pPr>
      <w:r>
        <w:rPr>
          <w:rFonts w:cs="Arial" w:ascii="Arial" w:hAnsi="Arial"/>
          <w:b/>
          <w:bCs/>
          <w:sz w:val="22"/>
          <w:szCs w:val="22"/>
        </w:rPr>
        <w:t xml:space="preserve">Evoluzione dei fenomeni di illegalità in Emilia-Romagna collegati alla criminalità organizzata e di tipo mafioso </w:t>
      </w:r>
    </w:p>
    <w:p>
      <w:pPr>
        <w:pStyle w:val="Normal"/>
        <w:rPr>
          <w:rFonts w:ascii="Arial" w:hAnsi="Arial" w:cs="Arial"/>
          <w:b/>
          <w:bCs/>
          <w:sz w:val="22"/>
          <w:szCs w:val="22"/>
        </w:rPr>
      </w:pPr>
      <w:r>
        <w:rPr>
          <w:rFonts w:cs="Arial" w:ascii="Arial" w:hAnsi="Arial"/>
          <w:b/>
          <w:bCs/>
          <w:sz w:val="22"/>
          <w:szCs w:val="22"/>
        </w:rPr>
        <w:t>(Fonte Area Legalità della Giunta Regionale dell’Emilia-Romagna)</w:t>
      </w:r>
    </w:p>
    <w:p>
      <w:pPr>
        <w:pStyle w:val="Normal"/>
        <w:rPr>
          <w:rFonts w:ascii="Arial" w:hAnsi="Arial" w:cs="Arial"/>
          <w:b/>
          <w:bCs/>
          <w:sz w:val="22"/>
          <w:szCs w:val="22"/>
        </w:rPr>
      </w:pPr>
      <w:r>
        <w:rPr>
          <w:rFonts w:cs="Arial" w:ascii="Arial" w:hAnsi="Arial"/>
          <w:b/>
          <w:bCs/>
          <w:sz w:val="22"/>
          <w:szCs w:val="22"/>
        </w:rPr>
      </w:r>
    </w:p>
    <w:p>
      <w:pPr>
        <w:pStyle w:val="Normal"/>
        <w:jc w:val="center"/>
        <w:rPr>
          <w:rFonts w:ascii="Times New Roman" w:hAnsi="Times New Roman" w:cs="Times New Roman"/>
          <w:b/>
          <w:bCs/>
          <w:sz w:val="28"/>
          <w:szCs w:val="28"/>
        </w:rPr>
      </w:pPr>
      <w:r>
        <w:rPr>
          <w:rFonts w:cs="Times New Roman" w:ascii="Times New Roman" w:hAnsi="Times New Roman"/>
          <w:b/>
          <w:bCs/>
          <w:sz w:val="28"/>
          <w:szCs w:val="28"/>
        </w:rPr>
        <w:t>“</w:t>
      </w:r>
      <w:r>
        <w:rPr>
          <w:rFonts w:cs="Times New Roman" w:ascii="Times New Roman" w:hAnsi="Times New Roman"/>
          <w:b/>
          <w:bCs/>
          <w:sz w:val="28"/>
          <w:szCs w:val="28"/>
        </w:rPr>
        <w:t xml:space="preserve">Mafie e area grigia. </w:t>
      </w:r>
    </w:p>
    <w:p>
      <w:pPr>
        <w:pStyle w:val="Normal"/>
        <w:jc w:val="center"/>
        <w:rPr>
          <w:rFonts w:ascii="Times New Roman" w:hAnsi="Times New Roman" w:cs="Times New Roman"/>
          <w:sz w:val="28"/>
          <w:szCs w:val="28"/>
        </w:rPr>
      </w:pPr>
      <w:r>
        <w:rPr>
          <w:rFonts w:cs="Times New Roman" w:ascii="Times New Roman" w:hAnsi="Times New Roman"/>
          <w:b/>
          <w:bCs/>
          <w:sz w:val="28"/>
          <w:szCs w:val="28"/>
        </w:rPr>
        <w:t>Uno scenario dell’Emilia-Romagna</w:t>
      </w:r>
      <w:r>
        <w:rPr>
          <w:rStyle w:val="FootnoteReference"/>
          <w:rFonts w:ascii="Times New Roman" w:hAnsi="Times New Roman"/>
          <w:sz w:val="28"/>
          <w:szCs w:val="28"/>
        </w:rPr>
        <w:footnoteReference w:id="2"/>
      </w:r>
    </w:p>
    <w:p>
      <w:pPr>
        <w:pStyle w:val="Normal"/>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jc w:val="both"/>
        <w:rPr>
          <w:rFonts w:ascii="Arial" w:hAnsi="Arial" w:cs="Arial"/>
          <w:b/>
          <w:bCs/>
          <w:sz w:val="22"/>
          <w:szCs w:val="22"/>
        </w:rPr>
      </w:pPr>
      <w:r>
        <w:rPr>
          <w:rFonts w:cs="Arial" w:ascii="Arial" w:hAnsi="Arial"/>
          <w:b/>
          <w:bCs/>
          <w:sz w:val="22"/>
          <w:szCs w:val="22"/>
        </w:rPr>
        <w:t>1. Premessa</w:t>
      </w:r>
    </w:p>
    <w:p>
      <w:pPr>
        <w:pStyle w:val="Normal"/>
        <w:ind w:firstLine="284"/>
        <w:jc w:val="both"/>
        <w:rPr>
          <w:rFonts w:ascii="Arial" w:hAnsi="Arial" w:cs="Arial"/>
          <w:sz w:val="22"/>
          <w:szCs w:val="22"/>
        </w:rPr>
      </w:pPr>
      <w:r>
        <w:rPr>
          <w:rFonts w:cs="Arial" w:ascii="Arial" w:hAnsi="Arial"/>
          <w:sz w:val="22"/>
          <w:szCs w:val="22"/>
        </w:rPr>
        <w:t>Numerose indagini giudiziarie condotte negli ultimi trent’anni in Italia hanno portato alla luce la presenza delle mafie fuori dai luoghi d’origine</w:t>
      </w:r>
      <w:r>
        <w:rPr>
          <w:rStyle w:val="FootnoteReference"/>
          <w:rFonts w:cs="Arial" w:ascii="Arial" w:hAnsi="Arial"/>
          <w:sz w:val="22"/>
          <w:szCs w:val="22"/>
        </w:rPr>
        <w:footnoteReference w:id="3"/>
      </w:r>
      <w:r>
        <w:rPr>
          <w:rFonts w:cs="Arial" w:ascii="Arial" w:hAnsi="Arial"/>
          <w:sz w:val="22"/>
          <w:szCs w:val="22"/>
        </w:rPr>
        <w:t>. Tali evidenze hanno rivelatouna chiara capacità di queste organizzazioni criminali di adattarsi anche in aree del Paese generalmente ritenute immuni dal fenomenomafioso per il diffuso senso civico della popolazione e il ricco contesto socioeconomico che le caratterizza</w:t>
      </w:r>
      <w:r>
        <w:rPr>
          <w:rStyle w:val="FootnoteReference"/>
          <w:rFonts w:cs="Arial" w:ascii="Arial" w:hAnsi="Arial"/>
          <w:sz w:val="22"/>
          <w:szCs w:val="22"/>
        </w:rPr>
        <w:footnoteReference w:id="4"/>
      </w:r>
      <w:r>
        <w:rPr>
          <w:rFonts w:cs="Arial" w:ascii="Arial" w:hAnsi="Arial"/>
          <w:sz w:val="22"/>
          <w:szCs w:val="22"/>
        </w:rPr>
        <w:t>.</w:t>
      </w:r>
    </w:p>
    <w:p>
      <w:pPr>
        <w:pStyle w:val="Normal"/>
        <w:ind w:firstLine="284"/>
        <w:jc w:val="both"/>
        <w:rPr>
          <w:rFonts w:ascii="Arial" w:hAnsi="Arial" w:cs="Arial"/>
          <w:sz w:val="22"/>
          <w:szCs w:val="22"/>
        </w:rPr>
      </w:pPr>
      <w:r>
        <w:rPr>
          <w:rFonts w:cs="Arial" w:ascii="Arial" w:hAnsi="Arial"/>
          <w:sz w:val="22"/>
          <w:szCs w:val="22"/>
        </w:rPr>
        <w:t>Un aspetto ricorrente che emerge dalle indagini è la formidabileabilità dimostrata dalle organizzazioni mafiose di infiltrarsi nei centri nevralgici dell’economia e delle istituzioni. Oltre alla tradizionale forza di intimidazione, a favorire tale processo sono soprattutto le ingenti risorse finanziarie di cui specialmenteoggi le mafie dispongono e che impiegano - spesso attraverso pratiche corruttive o meccanismi orientati al voto di scambio- anche perstringere alleanze strategiche con il mondo delle burocrazie, della politica, dell’imprenditoria e delle professioni.Grazie a queste connessioni, su cui si basa il capitale sociale delle mafie, esse si assicurano servizi e competenze fondamentali, da un lato, per riciclare e impiegare denaro illecito in attività legalitramite liberi professionistie imprenditori compiacenti, dall’altro lato, per influenzaredecisioni utili ad aggiudicarsi appalti e ottenere concessioni facendo leva su politici e funzionari corrotti.</w:t>
      </w:r>
    </w:p>
    <w:p>
      <w:pPr>
        <w:pStyle w:val="Normal"/>
        <w:ind w:firstLine="284"/>
        <w:jc w:val="both"/>
        <w:rPr>
          <w:rFonts w:ascii="Arial" w:hAnsi="Arial" w:cs="Arial"/>
          <w:sz w:val="22"/>
          <w:szCs w:val="22"/>
        </w:rPr>
      </w:pPr>
      <w:r>
        <w:rPr>
          <w:rFonts w:cs="Arial" w:ascii="Arial" w:hAnsi="Arial"/>
          <w:sz w:val="22"/>
          <w:szCs w:val="22"/>
        </w:rPr>
        <w:t>È da queste alleanze che prende forma l’“area grigia” delle collusioni: uno spazio relazionale all’interno del quale convergono interessi orientati alla ricerca del profitto e del potere e dove si verificano scambi reciprocamente vantaggiosi - di natura sia criminale sia economico-legale - tra uomini di mafia, politici, funzionari pubblici, imprenditori e liberi professionisti. All’interno di questa zona d’ombra si pianificano i reati funzionali al mantenimento di un eterogeneo e complesso circuito criminale di cui le mafie sono solo uno degli attori in gioco, il cui ruolo non sempreo necessariamente occupa una posizione di controllo o dominio(corruzione, turbativa d’asta, riciclaggio, frodi fiscali, reati societari, traffico di influenze, voto di scambio, ecc.)</w:t>
      </w:r>
      <w:r>
        <w:rPr>
          <w:rStyle w:val="FootnoteReference"/>
          <w:rFonts w:cs="Arial" w:ascii="Arial" w:hAnsi="Arial"/>
          <w:sz w:val="22"/>
          <w:szCs w:val="22"/>
        </w:rPr>
        <w:footnoteReference w:id="5"/>
      </w:r>
      <w:r>
        <w:rPr>
          <w:rFonts w:cs="Arial" w:ascii="Arial" w:hAnsi="Arial"/>
          <w:sz w:val="22"/>
          <w:szCs w:val="22"/>
        </w:rPr>
        <w:t xml:space="preserve">. </w:t>
      </w:r>
    </w:p>
    <w:p>
      <w:pPr>
        <w:pStyle w:val="Normal"/>
        <w:ind w:firstLine="284"/>
        <w:jc w:val="both"/>
        <w:rPr>
          <w:rFonts w:ascii="Arial" w:hAnsi="Arial" w:cs="Arial"/>
          <w:sz w:val="22"/>
          <w:szCs w:val="22"/>
        </w:rPr>
      </w:pPr>
      <w:r>
        <w:rPr>
          <w:rFonts w:cs="Arial" w:ascii="Arial" w:hAnsi="Arial"/>
          <w:sz w:val="22"/>
          <w:szCs w:val="22"/>
        </w:rPr>
        <w:t>Come è noto, i casi più significativi di espansione mafiosa fuori dai contesti di origine sono emersi in tutta evidenza in Lombardia e in Piemonte, pur essendo ormai molti, in Italia, i territori a rischio di infiltrazione o che mostrano criticità addirittura paragonabili alle regioni appena ricordate.L’Emilia-Romagna è uno di questi territori, dove ormai da tempo agiscono diversigruppi criminali autoctoni e ultimamente anche stranieri.</w:t>
      </w:r>
    </w:p>
    <w:p>
      <w:pPr>
        <w:pStyle w:val="Normal"/>
        <w:ind w:firstLine="284"/>
        <w:jc w:val="both"/>
        <w:rPr>
          <w:rFonts w:ascii="Arial" w:hAnsi="Arial" w:cs="Arial"/>
          <w:sz w:val="22"/>
          <w:szCs w:val="22"/>
        </w:rPr>
      </w:pPr>
      <w:r>
        <w:rPr>
          <w:rFonts w:cs="Arial" w:ascii="Arial" w:hAnsi="Arial"/>
          <w:sz w:val="22"/>
          <w:szCs w:val="22"/>
        </w:rPr>
        <w:t>La più recente analisi della Direzione Investigativa Antimafiarisalente al 2024, colloca l’Emilia-Romagna tra i territori più attrattivi del Paese per le organizzazioni mafiose, dove il dinamismo della sua economia, a cui parrebbe affiancarsi un atteggiamento della società civile votato al silenzio e all’omertà, renderebbe particolarmente conveniente il riciclaggio di capitali illeciti e l’investimento in attività legali.Benché non manchino evidenti segnali di controllo militare del territorio</w:t>
      </w:r>
      <w:r>
        <w:rPr>
          <w:rStyle w:val="FootnoteReference"/>
          <w:rFonts w:cs="Arial" w:ascii="Arial" w:hAnsi="Arial"/>
          <w:sz w:val="22"/>
          <w:szCs w:val="22"/>
        </w:rPr>
        <w:footnoteReference w:id="6"/>
      </w:r>
      <w:r>
        <w:rPr>
          <w:rFonts w:cs="Arial" w:ascii="Arial" w:hAnsi="Arial"/>
          <w:sz w:val="22"/>
          <w:szCs w:val="22"/>
        </w:rPr>
        <w:t xml:space="preserve">, la strategia mafiosa adottata qui, similmente ad altre aree economicamente avanzate, si basa infatti anzitutto su un approccio imprenditoriale orientato a penetrare silenziosamente il tessuto economico e produttivo della regionespesso con il supporto dei colletti bianchi. Ecco allora che accanto ai tradizionali traffici illeciti,come ad esempio il narcotraffico, che le mafie continuano a gestire in quanto fonte primaria di accumulazione di capitali, il </w:t>
      </w:r>
      <w:r>
        <w:rPr>
          <w:rFonts w:cs="Arial" w:ascii="Arial" w:hAnsi="Arial"/>
          <w:i/>
          <w:iCs/>
          <w:sz w:val="22"/>
          <w:szCs w:val="22"/>
        </w:rPr>
        <w:t>core business</w:t>
      </w:r>
      <w:r>
        <w:rPr>
          <w:rFonts w:cs="Arial" w:ascii="Arial" w:hAnsi="Arial"/>
          <w:sz w:val="22"/>
          <w:szCs w:val="22"/>
        </w:rPr>
        <w:t xml:space="preserve">mafioso in Emilia-Romagnaultimamente si è espanso alle attività legali, occupando una posizione che sembrerebbe diventare sempre più rilevante all’interno di settori economici di fondamentale importanza come quelli dell’edilizia, dei trasporti e della logistica, della ristorazione, del commercio, addirittura della distribuzione dell’energia. </w:t>
      </w:r>
    </w:p>
    <w:p>
      <w:pPr>
        <w:pStyle w:val="Normal"/>
        <w:ind w:firstLine="284"/>
        <w:jc w:val="both"/>
        <w:rPr>
          <w:rFonts w:ascii="Arial" w:hAnsi="Arial" w:cs="Arial"/>
          <w:sz w:val="22"/>
          <w:szCs w:val="22"/>
        </w:rPr>
      </w:pPr>
      <w:r>
        <w:rPr>
          <w:rFonts w:cs="Arial" w:ascii="Arial" w:hAnsi="Arial"/>
          <w:sz w:val="22"/>
          <w:szCs w:val="22"/>
        </w:rPr>
        <w:t>Alla luce di quanto esposto, questo documento si propone di analizzare una serie di fenomeni criminali riconducibili tanto alla criminalità organizzata quanto a quella dei colletti bianchi.Sebbene siano distinti sul piano giuridico, i reati che danno forma a questi fenomeni per le ragioni appena ricordate risultano spesso connessi, dando vita a dueambiti di un medesimo sistema criminale. Un sistema che, pur presentandosi eterogeneo al suo interno, appare sempre più integrato e in grado di incidere profondamente sulle fondamenta dell’economia legale e delle istituzioni democratiche.</w:t>
      </w:r>
    </w:p>
    <w:p>
      <w:pPr>
        <w:pStyle w:val="Normal"/>
        <w:ind w:firstLine="284"/>
        <w:jc w:val="both"/>
        <w:rPr>
          <w:rFonts w:ascii="Arial" w:hAnsi="Arial" w:cs="Arial"/>
          <w:sz w:val="22"/>
          <w:szCs w:val="22"/>
        </w:rPr>
      </w:pPr>
      <w:r>
        <w:rPr>
          <w:rFonts w:cs="Arial" w:ascii="Arial" w:hAnsi="Arial"/>
          <w:sz w:val="22"/>
          <w:szCs w:val="22"/>
        </w:rPr>
        <w:t>L’ambito geografico dell’analisi riguarda il livello nazionale, con un approfondimento specifico sull’Emilia-Romagna, un territorio, come si vedrà, che presenta dinamiche peculiari e complesse rispetto a questi fenomeni.</w:t>
      </w:r>
    </w:p>
    <w:p>
      <w:pPr>
        <w:pStyle w:val="Normal"/>
        <w:ind w:firstLine="284"/>
        <w:jc w:val="both"/>
        <w:rPr>
          <w:rFonts w:ascii="Arial" w:hAnsi="Arial" w:cs="Arial"/>
          <w:sz w:val="22"/>
          <w:szCs w:val="22"/>
        </w:rPr>
      </w:pPr>
      <w:r>
        <w:rPr>
          <w:rFonts w:cs="Arial" w:ascii="Arial" w:hAnsi="Arial"/>
          <w:sz w:val="22"/>
          <w:szCs w:val="22"/>
        </w:rPr>
        <w:t>L’analisi proposta si fonda principalmente sui dati del Ministero dell’interno relativi ai delitti denunciati dalle forze di polizia all’autorità giudiziaria. A partire da questo vasto insieme informativo sono stati individuati e selezionati alcuni specifici indicatori ritenuti particolarmentesignificativi e rappresentativi del sistema criminale di cui si è fatto cenno finora. Benché non privi di limiti, questi dati costituiscono la base conoscitiva primaria dell’approfondimento, in quanto rappresentano una fonte istituzionale ufficiale</w:t>
      </w:r>
      <w:r>
        <w:rPr>
          <w:rStyle w:val="FootnoteReference"/>
          <w:rFonts w:cs="Arial" w:ascii="Arial" w:hAnsi="Arial"/>
          <w:sz w:val="22"/>
          <w:szCs w:val="22"/>
        </w:rPr>
        <w:footnoteReference w:id="7"/>
      </w:r>
      <w:r>
        <w:rPr>
          <w:rFonts w:cs="Arial" w:ascii="Arial" w:hAnsi="Arial"/>
          <w:sz w:val="22"/>
          <w:szCs w:val="22"/>
        </w:rPr>
        <w:t xml:space="preserve">. Tuttavia, al fine di offrire un’analisi più completa e metodologicamente solida, il presente lavoro non si limiterà alle statistiche ministeriali. Quando necessario, e in relazione agli aspetti che richiedono un livello di dettaglio ulteriore o una diversa prospettiva interpretativa, il </w:t>
      </w:r>
      <w:r>
        <w:rPr>
          <w:rFonts w:cs="Arial" w:ascii="Arial" w:hAnsi="Arial"/>
          <w:i/>
          <w:iCs/>
          <w:sz w:val="22"/>
          <w:szCs w:val="22"/>
        </w:rPr>
        <w:t>corpus</w:t>
      </w:r>
      <w:r>
        <w:rPr>
          <w:rFonts w:cs="Arial" w:ascii="Arial" w:hAnsi="Arial"/>
          <w:sz w:val="22"/>
          <w:szCs w:val="22"/>
        </w:rPr>
        <w:t xml:space="preserve"> informativo verrà integrato con ulteriori dati provenienti da altre fonti qualificate (Istat, Unità di informazione finanziaria, ecc.).</w:t>
      </w:r>
    </w:p>
    <w:p>
      <w:pPr>
        <w:pStyle w:val="Normal"/>
        <w:ind w:firstLine="284"/>
        <w:jc w:val="both"/>
        <w:rPr>
          <w:rFonts w:ascii="Arial" w:hAnsi="Arial" w:cs="Arial"/>
          <w:sz w:val="22"/>
          <w:szCs w:val="22"/>
        </w:rPr>
      </w:pPr>
      <w:r>
        <w:rPr>
          <w:rFonts w:cs="Arial" w:ascii="Arial" w:hAnsi="Arial"/>
          <w:sz w:val="22"/>
          <w:szCs w:val="22"/>
        </w:rPr>
        <w:t>In appendice, infine, si aggiungerà una breve sintesi del più recente report della Direzione Investigativa Antimafiarelativa all’Emilia-Romagnain cui verrà ricostruita una mappa dei gruppi criminali presenti attualmente in regione e dei loro principali settori di attività in cui sono inseriti.</w:t>
      </w:r>
    </w:p>
    <w:p>
      <w:pPr>
        <w:pStyle w:val="Normal"/>
        <w:ind w:firstLine="284"/>
        <w:jc w:val="both"/>
        <w:rPr>
          <w:rFonts w:ascii="Arial" w:hAnsi="Arial" w:cs="Arial"/>
          <w:sz w:val="22"/>
          <w:szCs w:val="22"/>
        </w:rPr>
      </w:pPr>
      <w:r>
        <w:rPr>
          <w:rFonts w:cs="Arial" w:ascii="Arial" w:hAnsi="Arial"/>
          <w:sz w:val="22"/>
          <w:szCs w:val="22"/>
        </w:rPr>
        <w:t>L’obiettivo è quello di assicurare una ricostruzione quanto più accurata, articolata e multidimensionale possibile, superando i limiti che una singola fonte statistica può inevitabilmente presentare e offrendo così una rappresentazione più fedele e approfondita dei fenomeni indagati.</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r>
    </w:p>
    <w:p>
      <w:pPr>
        <w:pStyle w:val="Normal"/>
        <w:jc w:val="both"/>
        <w:rPr>
          <w:rFonts w:ascii="Arial" w:hAnsi="Arial" w:cs="Arial"/>
          <w:b/>
          <w:bCs/>
          <w:sz w:val="22"/>
          <w:szCs w:val="22"/>
        </w:rPr>
      </w:pPr>
      <w:r>
        <w:rPr>
          <w:rFonts w:cs="Arial" w:ascii="Arial" w:hAnsi="Arial"/>
          <w:b/>
          <w:bCs/>
          <w:sz w:val="22"/>
          <w:szCs w:val="22"/>
        </w:rPr>
        <w:t>2. Fenomeni criminali collegati alla criminalità organizzata e di tipo mafioso</w:t>
      </w:r>
    </w:p>
    <w:p>
      <w:pPr>
        <w:pStyle w:val="Normal"/>
        <w:ind w:firstLine="284"/>
        <w:jc w:val="both"/>
        <w:rPr>
          <w:rFonts w:ascii="Arial" w:hAnsi="Arial" w:cs="Arial"/>
          <w:sz w:val="22"/>
          <w:szCs w:val="22"/>
        </w:rPr>
      </w:pPr>
      <w:r>
        <w:rPr>
          <w:rFonts w:cs="Arial" w:ascii="Arial" w:hAnsi="Arial"/>
          <w:sz w:val="22"/>
          <w:szCs w:val="22"/>
        </w:rPr>
        <w:t>In linea con gli approfondimenti prodotti negli ultimi vent’anni sull’evoluzione della criminalità organizzata e mafiosa in Emilia-Romagna</w:t>
      </w:r>
      <w:r>
        <w:rPr>
          <w:rStyle w:val="FootnoteReference"/>
          <w:rFonts w:cs="Arial" w:ascii="Arial" w:hAnsi="Arial"/>
          <w:sz w:val="22"/>
          <w:szCs w:val="22"/>
        </w:rPr>
        <w:footnoteReference w:id="8"/>
      </w:r>
      <w:r>
        <w:rPr>
          <w:rFonts w:cs="Arial" w:ascii="Arial" w:hAnsi="Arial"/>
          <w:sz w:val="22"/>
          <w:szCs w:val="22"/>
        </w:rPr>
        <w:t>, questa sezione presenta un quadrorelativo alla presenza, all’intensità e agli sviluppi di alcune attività e traffici illeciti riconducibili a tali forme associative.</w:t>
      </w:r>
    </w:p>
    <w:p>
      <w:pPr>
        <w:pStyle w:val="Normal"/>
        <w:ind w:firstLine="284"/>
        <w:jc w:val="both"/>
        <w:rPr>
          <w:rFonts w:ascii="Arial" w:hAnsi="Arial" w:cs="Arial"/>
          <w:sz w:val="22"/>
          <w:szCs w:val="22"/>
        </w:rPr>
      </w:pPr>
      <w:r>
        <w:rPr>
          <w:rFonts w:cs="Arial" w:ascii="Arial" w:hAnsi="Arial"/>
          <w:sz w:val="22"/>
          <w:szCs w:val="22"/>
        </w:rPr>
        <w:t>In particolare, saranno esaminati i reati di associazione a delinquere semplice e di stampo mafioso; gli omicidi di mafia; le estorsioni</w:t>
      </w:r>
      <w:r>
        <w:rPr>
          <w:rStyle w:val="FootnoteReference"/>
          <w:rFonts w:cs="Arial" w:ascii="Arial" w:hAnsi="Arial"/>
          <w:sz w:val="22"/>
          <w:szCs w:val="22"/>
        </w:rPr>
        <w:footnoteReference w:id="9"/>
      </w:r>
      <w:r>
        <w:rPr>
          <w:rFonts w:cs="Arial" w:ascii="Arial" w:hAnsi="Arial"/>
          <w:sz w:val="22"/>
          <w:szCs w:val="22"/>
        </w:rPr>
        <w:t>; i danneggiamenti e gli attentati dinamitardi e incendiari</w:t>
      </w:r>
      <w:r>
        <w:rPr>
          <w:rStyle w:val="FootnoteReference"/>
          <w:rFonts w:cs="Arial" w:ascii="Arial" w:hAnsi="Arial"/>
          <w:sz w:val="22"/>
          <w:szCs w:val="22"/>
        </w:rPr>
        <w:footnoteReference w:id="10"/>
      </w:r>
      <w:r>
        <w:rPr>
          <w:rFonts w:cs="Arial" w:ascii="Arial" w:hAnsi="Arial"/>
          <w:sz w:val="22"/>
          <w:szCs w:val="22"/>
        </w:rPr>
        <w:t>; le violazioniche riguardano gli stupefacenti</w:t>
      </w:r>
      <w:r>
        <w:rPr>
          <w:rStyle w:val="FootnoteReference"/>
          <w:rFonts w:cs="Arial" w:ascii="Arial" w:hAnsi="Arial"/>
          <w:sz w:val="22"/>
          <w:szCs w:val="22"/>
        </w:rPr>
        <w:footnoteReference w:id="11"/>
      </w:r>
      <w:r>
        <w:rPr>
          <w:rFonts w:cs="Arial" w:ascii="Arial" w:hAnsi="Arial"/>
          <w:sz w:val="22"/>
          <w:szCs w:val="22"/>
        </w:rPr>
        <w:t>; lo sfruttamento della prostituzione</w:t>
      </w:r>
      <w:r>
        <w:rPr>
          <w:rStyle w:val="FootnoteReference"/>
          <w:rFonts w:cs="Arial" w:ascii="Arial" w:hAnsi="Arial"/>
          <w:sz w:val="22"/>
          <w:szCs w:val="22"/>
        </w:rPr>
        <w:footnoteReference w:id="12"/>
      </w:r>
      <w:r>
        <w:rPr>
          <w:rFonts w:cs="Arial" w:ascii="Arial" w:hAnsi="Arial"/>
          <w:sz w:val="22"/>
          <w:szCs w:val="22"/>
        </w:rPr>
        <w:t>; i furti e le rapine organizzate</w:t>
      </w:r>
      <w:r>
        <w:rPr>
          <w:rStyle w:val="FootnoteReference"/>
          <w:rFonts w:cs="Arial" w:ascii="Arial" w:hAnsi="Arial"/>
          <w:sz w:val="22"/>
          <w:szCs w:val="22"/>
        </w:rPr>
        <w:footnoteReference w:id="13"/>
      </w:r>
      <w:r>
        <w:rPr>
          <w:rFonts w:cs="Arial" w:ascii="Arial" w:hAnsi="Arial"/>
          <w:sz w:val="22"/>
          <w:szCs w:val="22"/>
        </w:rPr>
        <w:t>; i reati di ricettazione e di contrabbando</w:t>
      </w:r>
      <w:r>
        <w:rPr>
          <w:rStyle w:val="FootnoteReference"/>
          <w:rFonts w:cs="Arial" w:ascii="Arial" w:hAnsi="Arial"/>
          <w:sz w:val="22"/>
          <w:szCs w:val="22"/>
        </w:rPr>
        <w:footnoteReference w:id="14"/>
      </w:r>
      <w:r>
        <w:rPr>
          <w:rFonts w:cs="Arial" w:ascii="Arial" w:hAnsi="Arial"/>
          <w:sz w:val="22"/>
          <w:szCs w:val="22"/>
        </w:rPr>
        <w:t>; le truffe, le frodi e i reati di contraffazione</w:t>
      </w:r>
      <w:r>
        <w:rPr>
          <w:rStyle w:val="FootnoteReference"/>
          <w:rFonts w:cs="Arial" w:ascii="Arial" w:hAnsi="Arial"/>
          <w:sz w:val="22"/>
          <w:szCs w:val="22"/>
        </w:rPr>
        <w:footnoteReference w:id="15"/>
      </w:r>
      <w:r>
        <w:rPr>
          <w:rFonts w:cs="Arial" w:ascii="Arial" w:hAnsi="Arial"/>
          <w:sz w:val="22"/>
          <w:szCs w:val="22"/>
        </w:rPr>
        <w:t>; il riciclaggio e l’impiego di denaro illecito</w:t>
      </w:r>
      <w:r>
        <w:rPr>
          <w:rStyle w:val="FootnoteReference"/>
          <w:rFonts w:cs="Arial" w:ascii="Arial" w:hAnsi="Arial"/>
          <w:sz w:val="22"/>
          <w:szCs w:val="22"/>
        </w:rPr>
        <w:footnoteReference w:id="16"/>
      </w:r>
      <w:r>
        <w:rPr>
          <w:rFonts w:cs="Arial" w:ascii="Arial" w:hAnsi="Arial"/>
          <w:sz w:val="22"/>
          <w:szCs w:val="22"/>
        </w:rPr>
        <w:t>; l’usura</w:t>
      </w:r>
      <w:r>
        <w:rPr>
          <w:rStyle w:val="FootnoteReference"/>
          <w:rFonts w:cs="Arial" w:ascii="Arial" w:hAnsi="Arial"/>
          <w:sz w:val="22"/>
          <w:szCs w:val="22"/>
        </w:rPr>
        <w:footnoteReference w:id="17"/>
      </w:r>
      <w:r>
        <w:rPr>
          <w:rFonts w:cs="Arial" w:ascii="Arial" w:hAnsi="Arial"/>
          <w:sz w:val="22"/>
          <w:szCs w:val="22"/>
        </w:rPr>
        <w:t xml:space="preserve">. </w:t>
      </w:r>
    </w:p>
    <w:p>
      <w:pPr>
        <w:pStyle w:val="Normal"/>
        <w:ind w:firstLine="284"/>
        <w:jc w:val="both"/>
        <w:rPr>
          <w:rFonts w:ascii="Arial" w:hAnsi="Arial" w:cs="Arial"/>
          <w:sz w:val="22"/>
          <w:szCs w:val="22"/>
        </w:rPr>
      </w:pPr>
      <w:r>
        <w:rPr>
          <w:rFonts w:cs="Arial" w:ascii="Arial" w:hAnsi="Arial"/>
          <w:sz w:val="22"/>
          <w:szCs w:val="22"/>
        </w:rPr>
        <w:t>Come si può intuire, tali attività presentano un elevato grado di complessità, pertanto, data questa caratteristica, è verosimile che siano realizzate attraverso la cooperazione e il coordinamento di più individui riuniti attorno a un medesimo obiettivo criminale. Le evidenze giudiziarie, del resto, mostrano con chiarezza come il numero effettivo delle persone coinvolte in ciascuno di questi reati sia sistematicamente superiore a quello dei reati di cui le forze di polizia vengono a conoscenza, un elemento, questo, che confermerebbe la natura intrinsecamente collettiva e organizzata delle condotte analizzate(v. tabella 1).</w:t>
      </w:r>
    </w:p>
    <w:p>
      <w:pPr>
        <w:pStyle w:val="Normal"/>
        <w:jc w:val="both"/>
        <w:rPr>
          <w:rFonts w:ascii="Arial" w:hAnsi="Arial" w:cs="Arial"/>
          <w:b/>
          <w:bCs/>
          <w:smallCaps/>
          <w:sz w:val="22"/>
          <w:szCs w:val="22"/>
        </w:rPr>
      </w:pPr>
      <w:r>
        <w:rPr>
          <w:rFonts w:cs="Arial" w:ascii="Arial" w:hAnsi="Arial"/>
          <w:b/>
          <w:bCs/>
          <w:smallCaps/>
          <w:sz w:val="22"/>
          <w:szCs w:val="22"/>
        </w:rPr>
      </w:r>
    </w:p>
    <w:p>
      <w:pPr>
        <w:pStyle w:val="Normal"/>
        <w:jc w:val="both"/>
        <w:rPr>
          <w:rFonts w:ascii="Times New Roman" w:hAnsi="Times New Roman" w:cs="Times New Roman"/>
          <w:b/>
          <w:bCs/>
          <w:smallCaps/>
          <w:sz w:val="20"/>
          <w:szCs w:val="20"/>
        </w:rPr>
      </w:pPr>
      <w:r>
        <w:rPr>
          <w:rFonts w:cs="Times New Roman" w:ascii="Times New Roman" w:hAnsi="Times New Roman"/>
          <w:b/>
          <w:bCs/>
          <w:smallCaps/>
          <w:sz w:val="20"/>
          <w:szCs w:val="20"/>
        </w:rPr>
      </w:r>
    </w:p>
    <w:p>
      <w:pPr>
        <w:pStyle w:val="Normal"/>
        <w:jc w:val="both"/>
        <w:rPr>
          <w:rFonts w:ascii="Times New Roman" w:hAnsi="Times New Roman" w:cs="Times New Roman"/>
          <w:b/>
          <w:bCs/>
          <w:smallCaps/>
          <w:sz w:val="20"/>
          <w:szCs w:val="20"/>
        </w:rPr>
      </w:pPr>
      <w:r>
        <w:rPr>
          <w:rFonts w:cs="Times New Roman" w:ascii="Times New Roman" w:hAnsi="Times New Roman"/>
          <w:b/>
          <w:bCs/>
          <w:smallCaps/>
          <w:sz w:val="20"/>
          <w:szCs w:val="20"/>
        </w:rPr>
        <w:t>Tabella 1:</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Numero di persone segnalate alle forze di polizia per ogni reato denunciato in Emilia-Romagna, in Italia e nel Nord-Est. Distinzione per alcune fattispecie delittuose. Periodo 2008-2023</w:t>
      </w:r>
    </w:p>
    <w:tbl>
      <w:tblPr>
        <w:tblW w:w="5000" w:type="pct"/>
        <w:jc w:val="left"/>
        <w:tblInd w:w="140" w:type="dxa"/>
        <w:tblLayout w:type="fixed"/>
        <w:tblCellMar>
          <w:top w:w="0" w:type="dxa"/>
          <w:left w:w="70" w:type="dxa"/>
          <w:bottom w:w="0" w:type="dxa"/>
          <w:right w:w="70" w:type="dxa"/>
        </w:tblCellMar>
        <w:tblLook w:val="04a0"/>
      </w:tblPr>
      <w:tblGrid>
        <w:gridCol w:w="4643"/>
        <w:gridCol w:w="1768"/>
        <w:gridCol w:w="1766"/>
        <w:gridCol w:w="1768"/>
      </w:tblGrid>
      <w:tr>
        <w:trPr>
          <w:trHeight w:val="170" w:hRule="atLeast"/>
        </w:trPr>
        <w:tc>
          <w:tcPr>
            <w:tcW w:w="4643" w:type="dxa"/>
            <w:tcBorders>
              <w:top w:val="single" w:sz="4" w:space="0" w:color="000000"/>
              <w:bottom w:val="single" w:sz="4" w:space="0" w:color="000000"/>
            </w:tcBorders>
            <w:vAlign w:val="bottom"/>
          </w:tcPr>
          <w:p>
            <w:pPr>
              <w:pStyle w:val="Normal"/>
              <w:rPr>
                <w:rFonts w:eastAsia="Times New Roman" w:cs="Calibri" w:cstheme="minorHAnsi"/>
                <w:sz w:val="16"/>
                <w:szCs w:val="16"/>
                <w:lang w:eastAsia="it-IT"/>
              </w:rPr>
            </w:pPr>
            <w:r>
              <w:rPr>
                <w:rFonts w:eastAsia="Times New Roman" w:cs="Calibri" w:cstheme="minorHAnsi"/>
                <w:sz w:val="16"/>
                <w:szCs w:val="16"/>
                <w:lang w:eastAsia="it-IT"/>
              </w:rPr>
            </w:r>
          </w:p>
        </w:tc>
        <w:tc>
          <w:tcPr>
            <w:tcW w:w="1768" w:type="dxa"/>
            <w:tcBorders>
              <w:top w:val="single" w:sz="4" w:space="0" w:color="000000"/>
              <w:bottom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t>Emilia-Romagna</w:t>
            </w:r>
          </w:p>
        </w:tc>
        <w:tc>
          <w:tcPr>
            <w:tcW w:w="1766" w:type="dxa"/>
            <w:tcBorders>
              <w:top w:val="single" w:sz="4" w:space="0" w:color="000000"/>
              <w:bottom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t>Italia</w:t>
            </w:r>
          </w:p>
        </w:tc>
        <w:tc>
          <w:tcPr>
            <w:tcW w:w="1768" w:type="dxa"/>
            <w:tcBorders>
              <w:top w:val="single" w:sz="4" w:space="0" w:color="000000"/>
              <w:bottom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t>Nord-Est</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Associazione a delinquere semplice e mafiosa</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30</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23</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23</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Omicidi di mafia</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18</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50</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18</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Usura</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Riciclaggio e impiego di denaro</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6</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6</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Sfruttamento e favoreggiamento della prostituzione</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Furti e rapine organizzate</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Truffe, frodi e contraffazioni</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Estorsioni</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Produzione, traffico e spaccio di stupefacenti</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170" w:hRule="atLeast"/>
        </w:trPr>
        <w:tc>
          <w:tcPr>
            <w:tcW w:w="4643" w:type="dxa"/>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Ricettazione e contrabbando</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c>
          <w:tcPr>
            <w:tcW w:w="1766"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c>
          <w:tcPr>
            <w:tcW w:w="176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170" w:hRule="atLeast"/>
        </w:trPr>
        <w:tc>
          <w:tcPr>
            <w:tcW w:w="4643" w:type="dxa"/>
            <w:tcBorders>
              <w:bottom w:val="single" w:sz="4" w:space="0" w:color="000000"/>
            </w:tcBorders>
            <w:vAlign w:val="bottom"/>
          </w:tcPr>
          <w:p>
            <w:pPr>
              <w:pStyle w:val="Normal"/>
              <w:rPr>
                <w:rFonts w:eastAsia="Times New Roman" w:cs="Calibri" w:cstheme="minorHAnsi"/>
                <w:sz w:val="16"/>
                <w:szCs w:val="16"/>
                <w:lang w:eastAsia="it-IT"/>
              </w:rPr>
            </w:pPr>
            <w:r>
              <w:rPr>
                <w:rFonts w:ascii="Aptos Narrow" w:hAnsi="Aptos Narrow"/>
                <w:color w:val="000000"/>
                <w:sz w:val="16"/>
                <w:szCs w:val="16"/>
              </w:rPr>
              <w:t>Danneggiamenti e attentati dinamitardi e incendiari</w:t>
            </w:r>
          </w:p>
        </w:tc>
        <w:tc>
          <w:tcPr>
            <w:tcW w:w="1768" w:type="dxa"/>
            <w:tcBorders>
              <w:bottom w:val="single" w:sz="4" w:space="0" w:color="000000"/>
            </w:tcBorders>
            <w:vAlign w:val="bottom"/>
          </w:tcPr>
          <w:p>
            <w:pPr>
              <w:pStyle w:val="Normal"/>
              <w:jc w:val="right"/>
              <w:rPr>
                <w:rFonts w:cs="Calibri" w:cstheme="minorHAnsi"/>
                <w:color w:val="000000"/>
                <w:sz w:val="16"/>
                <w:szCs w:val="16"/>
              </w:rPr>
            </w:pPr>
            <w:r>
              <w:rPr>
                <w:rFonts w:ascii="Aptos Narrow" w:hAnsi="Aptos Narrow"/>
                <w:color w:val="000000"/>
                <w:sz w:val="16"/>
                <w:szCs w:val="16"/>
              </w:rPr>
              <w:t>2</w:t>
            </w:r>
          </w:p>
        </w:tc>
        <w:tc>
          <w:tcPr>
            <w:tcW w:w="1766" w:type="dxa"/>
            <w:tcBorders>
              <w:bottom w:val="single" w:sz="4" w:space="0" w:color="000000"/>
            </w:tcBorders>
            <w:vAlign w:val="bottom"/>
          </w:tcPr>
          <w:p>
            <w:pPr>
              <w:pStyle w:val="Normal"/>
              <w:jc w:val="right"/>
              <w:rPr>
                <w:rFonts w:cs="Calibri" w:cstheme="minorHAnsi"/>
                <w:color w:val="000000"/>
                <w:sz w:val="16"/>
                <w:szCs w:val="16"/>
              </w:rPr>
            </w:pPr>
            <w:r>
              <w:rPr>
                <w:rFonts w:ascii="Aptos Narrow" w:hAnsi="Aptos Narrow"/>
                <w:color w:val="000000"/>
                <w:sz w:val="16"/>
                <w:szCs w:val="16"/>
              </w:rPr>
              <w:t>2</w:t>
            </w:r>
          </w:p>
        </w:tc>
        <w:tc>
          <w:tcPr>
            <w:tcW w:w="1768" w:type="dxa"/>
            <w:tcBorders>
              <w:bottom w:val="single" w:sz="4" w:space="0" w:color="000000"/>
            </w:tcBorders>
            <w:vAlign w:val="bottom"/>
          </w:tcPr>
          <w:p>
            <w:pPr>
              <w:pStyle w:val="Normal"/>
              <w:jc w:val="right"/>
              <w:rPr>
                <w:rFonts w:cs="Calibri" w:cstheme="minorHAnsi"/>
                <w:color w:val="000000"/>
                <w:sz w:val="16"/>
                <w:szCs w:val="16"/>
              </w:rPr>
            </w:pPr>
            <w:r>
              <w:rPr>
                <w:rFonts w:ascii="Aptos Narrow" w:hAnsi="Aptos Narrow"/>
                <w:color w:val="000000"/>
                <w:sz w:val="16"/>
                <w:szCs w:val="16"/>
              </w:rPr>
              <w:t>2</w:t>
            </w:r>
          </w:p>
        </w:tc>
      </w:tr>
    </w:tbl>
    <w:p>
      <w:pPr>
        <w:pStyle w:val="Normal"/>
        <w:jc w:val="both"/>
        <w:rPr>
          <w:rFonts w:ascii="Arial" w:hAnsi="Arial" w:eastAsia="Times New Roman" w:cs="Arial"/>
          <w:sz w:val="16"/>
          <w:szCs w:val="16"/>
          <w:lang w:eastAsia="it-IT"/>
        </w:rPr>
      </w:pPr>
      <w:r>
        <w:rPr>
          <w:rFonts w:eastAsia="Times New Roman" w:cs="Arial" w:ascii="Arial" w:hAnsi="Arial"/>
          <w:sz w:val="16"/>
          <w:szCs w:val="16"/>
          <w:lang w:eastAsia="it-IT"/>
        </w:rPr>
        <w:t>Fonte: Nostra elaborazione su dati SDI del Ministero dell’Interno.</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Sebbeneil carattere associativo risulti chiaro, il metodo con cui questi reati vengono commessi appare meno definito. Le informazioni disponibili non permettono infatti di approfondire adeguatamente tale aspetto, nonostante molti di essi rientrino nella competenza delle Direzioni Distrettuali Antimafia. In mancanza di indicazioni più precise, è quindi prudente considerarli come indicatori - o se si preferisce reati spia - della presenza di forme strutturate di criminalità organizzata sul territorio, senza attribuirli meccanicamente a organizzazioni mafiose in senso stretto.</w:t>
      </w:r>
    </w:p>
    <w:p>
      <w:pPr>
        <w:pStyle w:val="Normal"/>
        <w:ind w:firstLine="284"/>
        <w:jc w:val="both"/>
        <w:rPr>
          <w:rFonts w:ascii="Arial" w:hAnsi="Arial" w:cs="Arial"/>
          <w:sz w:val="22"/>
          <w:szCs w:val="22"/>
        </w:rPr>
      </w:pPr>
      <w:r>
        <w:rPr>
          <w:rFonts w:cs="Arial" w:ascii="Arial" w:hAnsi="Arial"/>
          <w:sz w:val="22"/>
          <w:szCs w:val="22"/>
        </w:rPr>
        <w:t>Nelle sezioni successive verranno analizzati, per ciascuna di queste fattispecie, gli andamenti e l’incidenza registrati in Emilia-Romagna e nelle sue province tra il 2008 e il 2023, ossia il periodo più recente per cui i dati risultano disponibili.</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r>
    </w:p>
    <w:p>
      <w:pPr>
        <w:pStyle w:val="Normal"/>
        <w:ind w:hanging="420" w:left="420"/>
        <w:jc w:val="both"/>
        <w:rPr>
          <w:rFonts w:ascii="Arial" w:hAnsi="Arial" w:cs="Arial"/>
          <w:b/>
          <w:bCs/>
          <w:sz w:val="22"/>
          <w:szCs w:val="22"/>
        </w:rPr>
      </w:pPr>
      <w:r>
        <w:rPr>
          <w:rFonts w:cs="Arial" w:ascii="Arial" w:hAnsi="Arial"/>
          <w:b/>
          <w:bCs/>
          <w:sz w:val="22"/>
          <w:szCs w:val="22"/>
        </w:rPr>
        <w:t>2.1. Il quadro della criminalità organizzata e mafiosa in Emilia-Romagna e nelle sue province</w:t>
      </w:r>
    </w:p>
    <w:p>
      <w:pPr>
        <w:pStyle w:val="Normal"/>
        <w:ind w:firstLine="284"/>
        <w:jc w:val="both"/>
        <w:rPr>
          <w:rFonts w:ascii="Arial" w:hAnsi="Arial" w:cs="Arial"/>
          <w:sz w:val="22"/>
          <w:szCs w:val="22"/>
        </w:rPr>
      </w:pPr>
      <w:r>
        <w:rPr>
          <w:rFonts w:cs="Arial" w:ascii="Arial" w:hAnsi="Arial"/>
          <w:sz w:val="22"/>
          <w:szCs w:val="22"/>
        </w:rPr>
        <w:t>La tabella 2 offre una panoramica dei delitti selezionati, evidenziandone tre aspettiessenziali: il volume complessivo registrato in sedici anni (2008-2023), la dinamica temporale (indice di variazione medio annuo) e l’incidenza sulla popolazione (tasso medio annuo per 100.000 abitanti).Oltre ai dati relativi all’Emilia-Romagna, la tabella include anche quelli dell’Italia e del Nord-Est, così da consentire un confrontodella regione sia con il quadro nazionale che con la sua macroarea geografica di riferimento.</w:t>
      </w:r>
    </w:p>
    <w:p>
      <w:pPr>
        <w:pStyle w:val="Normal"/>
        <w:ind w:firstLine="284"/>
        <w:jc w:val="both"/>
        <w:rPr>
          <w:rFonts w:ascii="Arial" w:hAnsi="Arial" w:cs="Arial"/>
          <w:sz w:val="22"/>
          <w:szCs w:val="22"/>
        </w:rPr>
      </w:pPr>
      <w:r>
        <w:rPr>
          <w:rFonts w:cs="Arial" w:ascii="Arial" w:hAnsi="Arial"/>
          <w:sz w:val="22"/>
          <w:szCs w:val="22"/>
        </w:rPr>
        <w:t>Nel periodo considerato in regione sono stati denunciati quasi 306 mila delitti riconducibili alle fattispecie osservate, pari al 7% di quelli denunciati complessivamente in Italia e al 40nel Nord-Est</w:t>
      </w:r>
      <w:r>
        <w:rPr>
          <w:rStyle w:val="FootnoteReference"/>
          <w:rFonts w:cs="Arial" w:ascii="Arial" w:hAnsi="Arial"/>
          <w:sz w:val="22"/>
          <w:szCs w:val="22"/>
        </w:rPr>
        <w:footnoteReference w:id="18"/>
      </w:r>
      <w:r>
        <w:rPr>
          <w:rFonts w:cs="Arial" w:ascii="Arial" w:hAnsi="Arial"/>
          <w:sz w:val="22"/>
          <w:szCs w:val="22"/>
        </w:rPr>
        <w:t>.All’interno di questo insieme di delitti la quota prevalente riguarda le truffe, le frodi e le contraffazioni, che da sole rappresentano il 69% delle denunce. Oltre ai reati fraudolenti, un’ulteriore componente numericamente consistente, pari al 22%, è costituita dai reati riconducibili ai traffici illeciti, in particolare alla produzione, al traffico e allo spaccio di stupefacenti, e in misura minore alla ricettazione e al contrabbando.Pur rappresentando una quota relativamente contenuta sul totale (8%), le estorsioni, i furti e le rapine organizzate, così come i danneggiamenti e gli attentati di natura incendiaria o esplosiva, rivestono un rilievo particolare in ragione della loro gravità. Si tratta infatti di un insieme omogeneo di condotte criminali accomunate dall’obiettivo di ottenere indebiti vantaggi economici attraverso l’uso della forza, dell’intimidazione o mediante modalità operative caratterizzate da un elevato livello di pianificazione.Le oltre duemila segnalazioni di riciclaggio e usuraevidenziano una vasta area di illegalità orientata alla gestione e valorizzazione di capitali di provenienza illecita, a cui si affianca l’attività di sfruttamento della prostituzione, con oltre 1.400 casi denunciati, e i reati riguardanti l’associazione a delinquere, dei quali solo tredici su cinquecento sono riconducibili a organizzazioni di tipo mafioso, ma comunque indicativi della presenza di strutture criminali capaci di coordinare in modo stabile tali attività. A completamento del quadro, si segnala un solo omicidio con matrice mafiosa, avvenuto nella provincia di Parma nel 2010, che rappresenta l’unico episodio di questo tipo documentato nel Nord-Est.</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20"/>
          <w:szCs w:val="20"/>
        </w:rPr>
      </w:pPr>
      <w:r>
        <w:rPr>
          <w:rFonts w:cs="Times New Roman" w:ascii="Times New Roman" w:hAnsi="Times New Roman"/>
          <w:b/>
          <w:bCs/>
          <w:smallCaps/>
          <w:sz w:val="20"/>
          <w:szCs w:val="20"/>
        </w:rPr>
        <w:t>Tabella 2:</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Reati denunciati dalle forze di polizia all’autorità giudiziaria in Emilia-Romagna, in Italia e nel Nord-Est. Periodo 2008-2023 (numero complessivo dei reati denunciati; indice di variazione medio annuale; tasso medio annuo di delittuosità per 100.000 abitanti).</w:t>
      </w:r>
    </w:p>
    <w:tbl>
      <w:tblPr>
        <w:tblW w:w="5000" w:type="pct"/>
        <w:jc w:val="left"/>
        <w:tblInd w:w="140" w:type="dxa"/>
        <w:tblLayout w:type="fixed"/>
        <w:tblCellMar>
          <w:top w:w="0" w:type="dxa"/>
          <w:left w:w="70" w:type="dxa"/>
          <w:bottom w:w="0" w:type="dxa"/>
          <w:right w:w="70" w:type="dxa"/>
        </w:tblCellMar>
        <w:tblLook w:val="04a0"/>
      </w:tblPr>
      <w:tblGrid>
        <w:gridCol w:w="3960"/>
        <w:gridCol w:w="783"/>
        <w:gridCol w:w="542"/>
        <w:gridCol w:w="514"/>
        <w:gridCol w:w="168"/>
        <w:gridCol w:w="926"/>
        <w:gridCol w:w="514"/>
        <w:gridCol w:w="525"/>
        <w:gridCol w:w="184"/>
        <w:gridCol w:w="783"/>
        <w:gridCol w:w="532"/>
        <w:gridCol w:w="514"/>
      </w:tblGrid>
      <w:tr>
        <w:trPr>
          <w:cantSplit w:val="true"/>
        </w:trPr>
        <w:tc>
          <w:tcPr>
            <w:tcW w:w="3960" w:type="dxa"/>
            <w:tcBorders>
              <w:top w:val="single" w:sz="4" w:space="0" w:color="000000"/>
            </w:tcBorders>
            <w:vAlign w:val="bottom"/>
          </w:tcPr>
          <w:p>
            <w:pPr>
              <w:pStyle w:val="Normal"/>
              <w:jc w:val="center"/>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1839" w:type="dxa"/>
            <w:gridSpan w:val="3"/>
            <w:tcBorders>
              <w:top w:val="single" w:sz="4" w:space="0" w:color="000000"/>
              <w:bottom w:val="single" w:sz="4" w:space="0" w:color="000000"/>
            </w:tcBorders>
            <w:vAlign w:val="bottom"/>
          </w:tcPr>
          <w:p>
            <w:pPr>
              <w:pStyle w:val="Normal"/>
              <w:jc w:val="center"/>
              <w:rPr>
                <w:rFonts w:eastAsia="Times New Roman" w:cs="Calibri" w:cstheme="minorHAnsi"/>
                <w:b/>
                <w:bCs/>
                <w:sz w:val="16"/>
                <w:szCs w:val="16"/>
                <w:lang w:eastAsia="it-IT"/>
              </w:rPr>
            </w:pPr>
            <w:r>
              <w:rPr>
                <w:rFonts w:eastAsia="Times New Roman" w:cs="Calibri" w:cstheme="minorHAnsi"/>
                <w:b/>
                <w:bCs/>
                <w:sz w:val="16"/>
                <w:szCs w:val="16"/>
                <w:lang w:eastAsia="it-IT"/>
              </w:rPr>
              <w:t>EMILIA-ROMAGNA</w:t>
            </w:r>
          </w:p>
        </w:tc>
        <w:tc>
          <w:tcPr>
            <w:tcW w:w="168" w:type="dxa"/>
            <w:tcBorders>
              <w:top w:val="single" w:sz="4" w:space="0" w:color="000000"/>
            </w:tcBorders>
            <w:vAlign w:val="bottom"/>
          </w:tcPr>
          <w:p>
            <w:pPr>
              <w:pStyle w:val="Normal"/>
              <w:jc w:val="center"/>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1965" w:type="dxa"/>
            <w:gridSpan w:val="3"/>
            <w:tcBorders>
              <w:top w:val="single" w:sz="4" w:space="0" w:color="000000"/>
              <w:bottom w:val="single" w:sz="4" w:space="0" w:color="000000"/>
            </w:tcBorders>
            <w:vAlign w:val="bottom"/>
          </w:tcPr>
          <w:p>
            <w:pPr>
              <w:pStyle w:val="Normal"/>
              <w:jc w:val="center"/>
              <w:rPr>
                <w:rFonts w:eastAsia="Times New Roman" w:cs="Calibri" w:cstheme="minorHAnsi"/>
                <w:b/>
                <w:bCs/>
                <w:sz w:val="16"/>
                <w:szCs w:val="16"/>
                <w:lang w:eastAsia="it-IT"/>
              </w:rPr>
            </w:pPr>
            <w:r>
              <w:rPr>
                <w:rFonts w:eastAsia="Times New Roman" w:cs="Calibri" w:cstheme="minorHAnsi"/>
                <w:b/>
                <w:bCs/>
                <w:sz w:val="16"/>
                <w:szCs w:val="16"/>
                <w:lang w:eastAsia="it-IT"/>
              </w:rPr>
              <w:t>ITALIA</w:t>
            </w:r>
          </w:p>
        </w:tc>
        <w:tc>
          <w:tcPr>
            <w:tcW w:w="184" w:type="dxa"/>
            <w:tcBorders>
              <w:top w:val="single" w:sz="4" w:space="0" w:color="000000"/>
            </w:tcBorders>
            <w:vAlign w:val="bottom"/>
          </w:tcPr>
          <w:p>
            <w:pPr>
              <w:pStyle w:val="Normal"/>
              <w:jc w:val="center"/>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1829" w:type="dxa"/>
            <w:gridSpan w:val="3"/>
            <w:tcBorders>
              <w:top w:val="single" w:sz="4" w:space="0" w:color="000000"/>
              <w:bottom w:val="single" w:sz="4" w:space="0" w:color="000000"/>
            </w:tcBorders>
            <w:vAlign w:val="bottom"/>
          </w:tcPr>
          <w:p>
            <w:pPr>
              <w:pStyle w:val="Normal"/>
              <w:jc w:val="center"/>
              <w:rPr>
                <w:rFonts w:eastAsia="Times New Roman" w:cs="Calibri" w:cstheme="minorHAnsi"/>
                <w:b/>
                <w:bCs/>
                <w:sz w:val="16"/>
                <w:szCs w:val="16"/>
                <w:lang w:eastAsia="it-IT"/>
              </w:rPr>
            </w:pPr>
            <w:r>
              <w:rPr>
                <w:rFonts w:eastAsia="Times New Roman" w:cs="Calibri" w:cstheme="minorHAnsi"/>
                <w:b/>
                <w:bCs/>
                <w:sz w:val="16"/>
                <w:szCs w:val="16"/>
                <w:lang w:eastAsia="it-IT"/>
              </w:rPr>
              <w:t>NORD-EST</w:t>
            </w:r>
          </w:p>
        </w:tc>
      </w:tr>
      <w:tr>
        <w:trPr>
          <w:trHeight w:val="1693" w:hRule="atLeast"/>
          <w:cantSplit w:val="true"/>
        </w:trPr>
        <w:tc>
          <w:tcPr>
            <w:tcW w:w="3960" w:type="dxa"/>
            <w:tcBorders>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Totale delitti</w:t>
            </w:r>
          </w:p>
        </w:tc>
        <w:tc>
          <w:tcPr>
            <w:tcW w:w="542"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Indice di variazione</w:t>
            </w:r>
          </w:p>
        </w:tc>
        <w:tc>
          <w:tcPr>
            <w:tcW w:w="514"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Tasso di delittuosità</w:t>
            </w:r>
          </w:p>
        </w:tc>
        <w:tc>
          <w:tcPr>
            <w:tcW w:w="168" w:type="dxa"/>
            <w:tcBorders>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Totale delitti</w:t>
            </w:r>
          </w:p>
        </w:tc>
        <w:tc>
          <w:tcPr>
            <w:tcW w:w="514"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Indice di variazione</w:t>
            </w:r>
          </w:p>
        </w:tc>
        <w:tc>
          <w:tcPr>
            <w:tcW w:w="525"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Tasso di delittuosità</w:t>
            </w:r>
          </w:p>
        </w:tc>
        <w:tc>
          <w:tcPr>
            <w:tcW w:w="184" w:type="dxa"/>
            <w:tcBorders>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Totale delitti</w:t>
            </w:r>
          </w:p>
        </w:tc>
        <w:tc>
          <w:tcPr>
            <w:tcW w:w="532"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Indice di variazione</w:t>
            </w:r>
          </w:p>
        </w:tc>
        <w:tc>
          <w:tcPr>
            <w:tcW w:w="514"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t>Tasso di delittuosità</w:t>
            </w:r>
          </w:p>
        </w:tc>
      </w:tr>
      <w:tr>
        <w:trPr>
          <w:trHeight w:val="225" w:hRule="atLeast"/>
        </w:trPr>
        <w:tc>
          <w:tcPr>
            <w:tcW w:w="3960" w:type="dxa"/>
            <w:tcBorders>
              <w:top w:val="single" w:sz="4" w:space="0" w:color="000000"/>
            </w:tcBorders>
            <w:vAlign w:val="bottom"/>
          </w:tcPr>
          <w:p>
            <w:pPr>
              <w:pStyle w:val="Normal"/>
              <w:rPr>
                <w:rFonts w:eastAsia="Times New Roman" w:cs="Calibri" w:cstheme="minorHAnsi"/>
                <w:sz w:val="16"/>
                <w:szCs w:val="16"/>
                <w:lang w:eastAsia="it-IT"/>
              </w:rPr>
            </w:pPr>
            <w:r>
              <w:rPr>
                <w:rFonts w:ascii="Aptos Narrow" w:hAnsi="Aptos Narrow"/>
                <w:sz w:val="16"/>
                <w:szCs w:val="16"/>
              </w:rPr>
              <w:t>Truffe, frodi e contraffazione</w:t>
            </w:r>
          </w:p>
        </w:tc>
        <w:tc>
          <w:tcPr>
            <w:tcW w:w="783"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210.039</w:t>
            </w:r>
          </w:p>
        </w:tc>
        <w:tc>
          <w:tcPr>
            <w:tcW w:w="542"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7,0</w:t>
            </w:r>
          </w:p>
        </w:tc>
        <w:tc>
          <w:tcPr>
            <w:tcW w:w="514"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298</w:t>
            </w:r>
          </w:p>
        </w:tc>
        <w:tc>
          <w:tcPr>
            <w:tcW w:w="168" w:type="dxa"/>
            <w:tcBorders>
              <w:top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2.872.193</w:t>
            </w:r>
          </w:p>
        </w:tc>
        <w:tc>
          <w:tcPr>
            <w:tcW w:w="514"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7,3</w:t>
            </w:r>
          </w:p>
        </w:tc>
        <w:tc>
          <w:tcPr>
            <w:tcW w:w="525"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300</w:t>
            </w:r>
          </w:p>
        </w:tc>
        <w:tc>
          <w:tcPr>
            <w:tcW w:w="184" w:type="dxa"/>
            <w:tcBorders>
              <w:top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529.578</w:t>
            </w:r>
          </w:p>
        </w:tc>
        <w:tc>
          <w:tcPr>
            <w:tcW w:w="532"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8,5</w:t>
            </w:r>
          </w:p>
        </w:tc>
        <w:tc>
          <w:tcPr>
            <w:tcW w:w="514"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287</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Produzione, traffico e spaccio di stupefacenti</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40.647</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-1,4</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58</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551.945</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-0,5</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58</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94.539</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-0,6</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51</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Ricettazione e contrabbando</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25.911</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-4,5</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37</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338.158</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-4,6</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35</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55.014</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-3,9</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30</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Estorsioni</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10.034</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5,9</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14</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135.632</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3,7</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14</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20.590</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5,8</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11</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Furti e rapine organizzate</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9.349</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-4,3</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13</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122.542</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-6,9</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13</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17.523</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-3,3</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9</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Danneggiamenti e attentati dinamitardi e incendiari</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5.672</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-0,8</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8</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143.144</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-2,1</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15</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11.899</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-1,8</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6</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Riciclaggio e impiego di denaro</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1.586</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-1,0</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25.218</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-0,1</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3.842</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0,2</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Sfruttamento della prostituzione</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1.440</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-12,5</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14.713</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-10,5</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3.082</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-10,7</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2</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Associazione a delinquere semplice e mafiosa</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500</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-8,1</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12.535</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-6,0</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1.590</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-7,3</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Usura</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434</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-13,6</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4.993</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-7,1</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795</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-6,9</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w:t>
            </w:r>
          </w:p>
        </w:tc>
      </w:tr>
      <w:tr>
        <w:trPr>
          <w:trHeight w:val="225" w:hRule="atLeast"/>
        </w:trPr>
        <w:tc>
          <w:tcPr>
            <w:tcW w:w="3960" w:type="dxa"/>
            <w:tcBorders/>
            <w:vAlign w:val="bottom"/>
          </w:tcPr>
          <w:p>
            <w:pPr>
              <w:pStyle w:val="Normal"/>
              <w:rPr>
                <w:rFonts w:eastAsia="Times New Roman" w:cs="Calibri" w:cstheme="minorHAnsi"/>
                <w:sz w:val="16"/>
                <w:szCs w:val="16"/>
                <w:lang w:eastAsia="it-IT"/>
              </w:rPr>
            </w:pPr>
            <w:r>
              <w:rPr>
                <w:rFonts w:ascii="Aptos Narrow" w:hAnsi="Aptos Narrow"/>
                <w:sz w:val="16"/>
                <w:szCs w:val="16"/>
              </w:rPr>
              <w:t>Omicidi di mafia</w:t>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c>
          <w:tcPr>
            <w:tcW w:w="54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w:t>
            </w:r>
          </w:p>
        </w:tc>
        <w:tc>
          <w:tcPr>
            <w:tcW w:w="16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26"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738</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-10,8</w:t>
            </w:r>
          </w:p>
        </w:tc>
        <w:tc>
          <w:tcPr>
            <w:tcW w:w="525"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w:t>
            </w:r>
          </w:p>
        </w:tc>
        <w:tc>
          <w:tcPr>
            <w:tcW w:w="184"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3"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1</w:t>
            </w:r>
          </w:p>
        </w:tc>
        <w:tc>
          <w:tcPr>
            <w:tcW w:w="532"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w:t>
            </w:r>
          </w:p>
        </w:tc>
        <w:tc>
          <w:tcPr>
            <w:tcW w:w="514" w:type="dxa"/>
            <w:tcBorders/>
            <w:vAlign w:val="bottom"/>
          </w:tcPr>
          <w:p>
            <w:pPr>
              <w:pStyle w:val="Normal"/>
              <w:jc w:val="right"/>
              <w:rPr>
                <w:rFonts w:eastAsia="Times New Roman" w:cs="Calibri" w:cstheme="minorHAnsi"/>
                <w:sz w:val="16"/>
                <w:szCs w:val="16"/>
                <w:lang w:eastAsia="it-IT"/>
              </w:rPr>
            </w:pPr>
            <w:r>
              <w:rPr>
                <w:rFonts w:ascii="Aptos Narrow" w:hAnsi="Aptos Narrow"/>
                <w:sz w:val="16"/>
                <w:szCs w:val="16"/>
              </w:rPr>
              <w:t>0</w:t>
            </w:r>
          </w:p>
        </w:tc>
      </w:tr>
      <w:tr>
        <w:trPr>
          <w:trHeight w:val="225" w:hRule="atLeast"/>
        </w:trPr>
        <w:tc>
          <w:tcPr>
            <w:tcW w:w="3960" w:type="dxa"/>
            <w:tcBorders>
              <w:bottom w:val="single" w:sz="4" w:space="0" w:color="000000"/>
            </w:tcBorders>
            <w:vAlign w:val="bottom"/>
          </w:tcPr>
          <w:p>
            <w:pPr>
              <w:pStyle w:val="Normal"/>
              <w:rPr>
                <w:rFonts w:eastAsia="Times New Roman" w:cs="Calibri" w:cstheme="minorHAnsi"/>
                <w:b/>
                <w:bCs/>
                <w:sz w:val="16"/>
                <w:szCs w:val="16"/>
                <w:lang w:eastAsia="it-IT"/>
              </w:rPr>
            </w:pPr>
            <w:r>
              <w:rPr>
                <w:rFonts w:ascii="Aptos Narrow" w:hAnsi="Aptos Narrow"/>
                <w:b/>
                <w:bCs/>
                <w:color w:val="000000"/>
                <w:sz w:val="16"/>
                <w:szCs w:val="16"/>
              </w:rPr>
              <w:t>Totale complessivo</w:t>
            </w:r>
          </w:p>
        </w:tc>
        <w:tc>
          <w:tcPr>
            <w:tcW w:w="783" w:type="dxa"/>
            <w:tcBorders>
              <w:bottom w:val="single" w:sz="4" w:space="0" w:color="000000"/>
            </w:tcBorders>
            <w:vAlign w:val="bottom"/>
          </w:tcPr>
          <w:p>
            <w:pPr>
              <w:pStyle w:val="Normal"/>
              <w:jc w:val="right"/>
              <w:rPr>
                <w:rFonts w:ascii="Aptos Narrow" w:hAnsi="Aptos Narrow"/>
                <w:b/>
                <w:bCs/>
                <w:color w:val="000000"/>
                <w:sz w:val="16"/>
                <w:szCs w:val="16"/>
              </w:rPr>
            </w:pPr>
            <w:r>
              <w:rPr>
                <w:rFonts w:ascii="Aptos Narrow" w:hAnsi="Aptos Narrow"/>
                <w:b/>
                <w:bCs/>
                <w:color w:val="000000"/>
                <w:sz w:val="16"/>
                <w:szCs w:val="16"/>
              </w:rPr>
              <w:t>305.613</w:t>
            </w:r>
          </w:p>
        </w:tc>
        <w:tc>
          <w:tcPr>
            <w:tcW w:w="542"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ascii="Aptos Narrow" w:hAnsi="Aptos Narrow"/>
                <w:b/>
                <w:bCs/>
                <w:color w:val="000000"/>
                <w:sz w:val="16"/>
                <w:szCs w:val="16"/>
              </w:rPr>
              <w:t>4,1</w:t>
            </w:r>
          </w:p>
        </w:tc>
        <w:tc>
          <w:tcPr>
            <w:tcW w:w="514"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ascii="Aptos Narrow" w:hAnsi="Aptos Narrow"/>
                <w:b/>
                <w:bCs/>
                <w:color w:val="000000"/>
                <w:sz w:val="16"/>
                <w:szCs w:val="16"/>
              </w:rPr>
              <w:t>434</w:t>
            </w:r>
          </w:p>
        </w:tc>
        <w:tc>
          <w:tcPr>
            <w:tcW w:w="168"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926" w:type="dxa"/>
            <w:tcBorders>
              <w:bottom w:val="single" w:sz="4" w:space="0" w:color="000000"/>
            </w:tcBorders>
            <w:vAlign w:val="bottom"/>
          </w:tcPr>
          <w:p>
            <w:pPr>
              <w:pStyle w:val="Normal"/>
              <w:jc w:val="right"/>
              <w:rPr>
                <w:rFonts w:ascii="Aptos Narrow" w:hAnsi="Aptos Narrow"/>
                <w:b/>
                <w:bCs/>
                <w:color w:val="000000"/>
                <w:sz w:val="16"/>
                <w:szCs w:val="16"/>
              </w:rPr>
            </w:pPr>
            <w:r>
              <w:rPr>
                <w:rFonts w:ascii="Aptos Narrow" w:hAnsi="Aptos Narrow"/>
                <w:b/>
                <w:bCs/>
                <w:color w:val="000000"/>
                <w:sz w:val="16"/>
                <w:szCs w:val="16"/>
              </w:rPr>
              <w:t>4.221.811</w:t>
            </w:r>
          </w:p>
        </w:tc>
        <w:tc>
          <w:tcPr>
            <w:tcW w:w="514"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ascii="Aptos Narrow" w:hAnsi="Aptos Narrow"/>
                <w:b/>
                <w:bCs/>
                <w:color w:val="000000"/>
                <w:sz w:val="16"/>
                <w:szCs w:val="16"/>
              </w:rPr>
              <w:t>4,2</w:t>
            </w:r>
          </w:p>
        </w:tc>
        <w:tc>
          <w:tcPr>
            <w:tcW w:w="525"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ascii="Aptos Narrow" w:hAnsi="Aptos Narrow"/>
                <w:b/>
                <w:bCs/>
                <w:color w:val="000000"/>
                <w:sz w:val="16"/>
                <w:szCs w:val="16"/>
              </w:rPr>
              <w:t>442</w:t>
            </w:r>
          </w:p>
        </w:tc>
        <w:tc>
          <w:tcPr>
            <w:tcW w:w="184"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783" w:type="dxa"/>
            <w:tcBorders>
              <w:bottom w:val="single" w:sz="4" w:space="0" w:color="000000"/>
            </w:tcBorders>
            <w:vAlign w:val="bottom"/>
          </w:tcPr>
          <w:p>
            <w:pPr>
              <w:pStyle w:val="Normal"/>
              <w:jc w:val="right"/>
              <w:rPr>
                <w:rFonts w:ascii="Aptos Narrow" w:hAnsi="Aptos Narrow"/>
                <w:b/>
                <w:bCs/>
                <w:color w:val="000000"/>
                <w:sz w:val="16"/>
                <w:szCs w:val="16"/>
              </w:rPr>
            </w:pPr>
            <w:r>
              <w:rPr>
                <w:rFonts w:ascii="Aptos Narrow" w:hAnsi="Aptos Narrow"/>
                <w:b/>
                <w:bCs/>
                <w:color w:val="000000"/>
                <w:sz w:val="16"/>
                <w:szCs w:val="16"/>
              </w:rPr>
              <w:t>738.453</w:t>
            </w:r>
          </w:p>
        </w:tc>
        <w:tc>
          <w:tcPr>
            <w:tcW w:w="532"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ascii="Aptos Narrow" w:hAnsi="Aptos Narrow"/>
                <w:b/>
                <w:bCs/>
                <w:color w:val="000000"/>
                <w:sz w:val="16"/>
                <w:szCs w:val="16"/>
              </w:rPr>
              <w:t>5,5</w:t>
            </w:r>
          </w:p>
        </w:tc>
        <w:tc>
          <w:tcPr>
            <w:tcW w:w="514" w:type="dxa"/>
            <w:tcBorders>
              <w:bottom w:val="single" w:sz="4" w:space="0" w:color="000000"/>
            </w:tcBorders>
            <w:vAlign w:val="bottom"/>
          </w:tcPr>
          <w:p>
            <w:pPr>
              <w:pStyle w:val="Normal"/>
              <w:jc w:val="right"/>
              <w:rPr>
                <w:rFonts w:eastAsia="Times New Roman" w:cs="Calibri" w:cstheme="minorHAnsi"/>
                <w:b/>
                <w:bCs/>
                <w:sz w:val="16"/>
                <w:szCs w:val="16"/>
                <w:lang w:eastAsia="it-IT"/>
              </w:rPr>
            </w:pPr>
            <w:r>
              <w:rPr>
                <w:rFonts w:ascii="Aptos Narrow" w:hAnsi="Aptos Narrow"/>
                <w:b/>
                <w:bCs/>
                <w:color w:val="000000"/>
                <w:sz w:val="16"/>
                <w:szCs w:val="16"/>
              </w:rPr>
              <w:t>400</w:t>
            </w:r>
            <w:bookmarkStart w:id="22" w:name="OLE_LINK2"/>
            <w:bookmarkEnd w:id="22"/>
          </w:p>
        </w:tc>
      </w:tr>
    </w:tbl>
    <w:p>
      <w:pPr>
        <w:pStyle w:val="Normal"/>
        <w:jc w:val="both"/>
        <w:rPr>
          <w:rFonts w:ascii="Arial" w:hAnsi="Arial" w:cs="Arial"/>
          <w:sz w:val="16"/>
          <w:szCs w:val="16"/>
        </w:rPr>
      </w:pPr>
      <w:r>
        <w:rPr>
          <w:rFonts w:cs="Arial" w:ascii="Arial" w:hAnsi="Arial"/>
          <w:sz w:val="16"/>
          <w:szCs w:val="16"/>
        </w:rPr>
        <w:t>Fonte: Nostra elaborazione su dati SDI del Ministero dell’Interno.</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t>Il confronto dell’Emilia-Romagna con l’Italia non evidenzia scostamenti significativi rispetto a questi fenomeni, sia per quanto riguarda la loro dinamica evolutiva, complessivamente in crescita in entrambi i contesti (~ 4 punti percentuali), che per l’incidenzaterritoriale (434 reati ogni 100 mila abitanti contro 442). Diverso è invece lo scenario che emerge dal confronto della regione con la sua area geografica di riferimento.Pur registrando una crescita più contenuta dei reati, l’incidenza di tali fenomeni in Emilia-Romagna è infatti sensibilmente più elevata rispetto al Nord-Est. Questo rilievo dimostra non solo la maggiore esposizione della regione alle azioni dei gruppi criminali rispetto ai territori limitrofi, ma anche che le attività illecite ad essi ascrivibili in genere tendono a non subire variazioni repentine, consolidandosi progressivamente e facendo leva su opportunità già radicate.</w:t>
      </w:r>
    </w:p>
    <w:p>
      <w:pPr>
        <w:pStyle w:val="Normal"/>
        <w:ind w:firstLine="284"/>
        <w:jc w:val="both"/>
        <w:rPr>
          <w:rFonts w:ascii="Arial" w:hAnsi="Arial" w:cs="Arial"/>
          <w:sz w:val="22"/>
          <w:szCs w:val="22"/>
        </w:rPr>
      </w:pPr>
      <w:r>
        <w:rPr>
          <w:rFonts w:cs="Arial" w:ascii="Arial" w:hAnsi="Arial"/>
          <w:sz w:val="22"/>
          <w:szCs w:val="22"/>
        </w:rPr>
        <w:t xml:space="preserve">Se questo è il quadro generale che emerge dal confronto tra la regione, l’Italia e il Nord-Est, l’analisi interna al territorio emiliano-romagnolo delinea uno scenario più sfaccettato, in cui le province mostrano profili di rischio diversi tra di loro a seconda del tipo di reato, sia rispetto alle dinamiche evolutive dei reati stessi sia in termini di intensità (v. tabella 3). </w:t>
      </w:r>
    </w:p>
    <w:p>
      <w:pPr>
        <w:pStyle w:val="Normal"/>
        <w:ind w:firstLine="284"/>
        <w:jc w:val="both"/>
        <w:rPr>
          <w:rFonts w:ascii="Arial" w:hAnsi="Arial" w:cs="Arial"/>
          <w:sz w:val="22"/>
          <w:szCs w:val="22"/>
        </w:rPr>
      </w:pPr>
      <w:r>
        <w:rPr>
          <w:rFonts w:cs="Arial" w:ascii="Arial" w:hAnsi="Arial"/>
          <w:sz w:val="22"/>
          <w:szCs w:val="22"/>
        </w:rPr>
      </w:r>
    </w:p>
    <w:p>
      <w:pPr>
        <w:pStyle w:val="Normal"/>
        <w:jc w:val="both"/>
        <w:rPr>
          <w:rFonts w:ascii="Times New Roman" w:hAnsi="Times New Roman" w:cs="Times New Roman"/>
          <w:b/>
          <w:bCs/>
          <w:smallCaps/>
          <w:sz w:val="20"/>
          <w:szCs w:val="20"/>
        </w:rPr>
      </w:pPr>
      <w:r>
        <w:rPr>
          <w:rFonts w:cs="Times New Roman" w:ascii="Times New Roman" w:hAnsi="Times New Roman"/>
          <w:b/>
          <w:bCs/>
          <w:smallCaps/>
          <w:sz w:val="20"/>
          <w:szCs w:val="20"/>
        </w:rPr>
        <w:t>Tabella 3:</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Reati denunciati dalle forze di polizia all’autorità giudiziaria in Emilia-Romagna e nelle sue province. Periodo 2008-2023 (indice di variazione medio annuale; tasso medio annuo di delittuosità per 100.000 abitanti).</w:t>
      </w:r>
    </w:p>
    <w:tbl>
      <w:tblPr>
        <w:tblW w:w="5000" w:type="pct"/>
        <w:jc w:val="left"/>
        <w:tblInd w:w="140" w:type="dxa"/>
        <w:tblLayout w:type="fixed"/>
        <w:tblCellMar>
          <w:top w:w="0" w:type="dxa"/>
          <w:left w:w="70" w:type="dxa"/>
          <w:bottom w:w="0" w:type="dxa"/>
          <w:right w:w="70" w:type="dxa"/>
        </w:tblCellMar>
        <w:tblLook w:val="04a0"/>
      </w:tblPr>
      <w:tblGrid>
        <w:gridCol w:w="3973"/>
        <w:gridCol w:w="558"/>
        <w:gridCol w:w="223"/>
        <w:gridCol w:w="576"/>
        <w:gridCol w:w="576"/>
        <w:gridCol w:w="577"/>
        <w:gridCol w:w="577"/>
        <w:gridCol w:w="577"/>
        <w:gridCol w:w="577"/>
        <w:gridCol w:w="583"/>
        <w:gridCol w:w="571"/>
        <w:gridCol w:w="577"/>
      </w:tblGrid>
      <w:tr>
        <w:trPr>
          <w:trHeight w:val="228" w:hRule="atLeast"/>
        </w:trPr>
        <w:tc>
          <w:tcPr>
            <w:tcW w:w="3973" w:type="dxa"/>
            <w:tcBorders>
              <w:top w:val="single" w:sz="4" w:space="0" w:color="000000"/>
              <w:bottom w:val="single" w:sz="4" w:space="0" w:color="000000"/>
            </w:tcBorders>
            <w:vAlign w:val="bottom"/>
          </w:tcPr>
          <w:p>
            <w:pPr>
              <w:pStyle w:val="Normal"/>
              <w:rPr>
                <w:rFonts w:ascii="Aptos Narrow" w:hAnsi="Aptos Narrow" w:eastAsia="Times New Roman" w:cs="Times New Roman"/>
                <w:color w:val="000000"/>
                <w:sz w:val="16"/>
                <w:szCs w:val="16"/>
                <w:lang w:eastAsia="it-IT"/>
              </w:rPr>
            </w:pPr>
            <w:r>
              <w:rPr>
                <w:rFonts w:eastAsia="Times New Roman" w:cs="Times New Roman" w:ascii="Aptos Narrow" w:hAnsi="Aptos Narrow"/>
                <w:color w:val="000000"/>
                <w:sz w:val="16"/>
                <w:szCs w:val="16"/>
                <w:lang w:eastAsia="it-IT"/>
              </w:rPr>
            </w:r>
          </w:p>
        </w:tc>
        <w:tc>
          <w:tcPr>
            <w:tcW w:w="558" w:type="dxa"/>
            <w:tcBorders>
              <w:top w:val="single" w:sz="4" w:space="0" w:color="000000"/>
              <w:bottom w:val="single" w:sz="4" w:space="0" w:color="000000"/>
            </w:tcBorders>
            <w:vAlign w:val="bottom"/>
          </w:tcPr>
          <w:p>
            <w:pPr>
              <w:pStyle w:val="Normal"/>
              <w:jc w:val="right"/>
              <w:rPr>
                <w:rFonts w:ascii="Aptos" w:hAnsi="Aptos" w:eastAsia="Times New Roman" w:cs="Times New Roman"/>
                <w:b/>
                <w:bCs/>
                <w:color w:val="000000"/>
                <w:sz w:val="16"/>
                <w:szCs w:val="16"/>
                <w:lang w:eastAsia="it-IT"/>
              </w:rPr>
            </w:pPr>
            <w:r>
              <w:rPr>
                <w:rFonts w:eastAsia="Times New Roman" w:cs="Times New Roman" w:ascii="Aptos" w:hAnsi="Aptos"/>
                <w:b/>
                <w:bCs/>
                <w:color w:val="000000"/>
                <w:sz w:val="16"/>
                <w:szCs w:val="16"/>
                <w:lang w:eastAsia="it-IT"/>
              </w:rPr>
              <w:t>ER</w:t>
            </w:r>
          </w:p>
        </w:tc>
        <w:tc>
          <w:tcPr>
            <w:tcW w:w="223" w:type="dxa"/>
            <w:tcBorders>
              <w:top w:val="single" w:sz="4" w:space="0" w:color="000000"/>
              <w:bottom w:val="single" w:sz="4" w:space="0" w:color="000000"/>
            </w:tcBorders>
            <w:vAlign w:val="bottom"/>
          </w:tcPr>
          <w:p>
            <w:pPr>
              <w:pStyle w:val="Normal"/>
              <w:jc w:val="right"/>
              <w:rPr>
                <w:rFonts w:ascii="Aptos" w:hAnsi="Aptos" w:eastAsia="Times New Roman" w:cs="Times New Roman"/>
                <w:b/>
                <w:bCs/>
                <w:color w:val="000000"/>
                <w:sz w:val="16"/>
                <w:szCs w:val="16"/>
                <w:lang w:eastAsia="it-IT"/>
              </w:rPr>
            </w:pPr>
            <w:r>
              <w:rPr>
                <w:rFonts w:eastAsia="Times New Roman" w:cs="Times New Roman" w:ascii="Aptos" w:hAnsi="Aptos"/>
                <w:b/>
                <w:bCs/>
                <w:color w:val="000000"/>
                <w:sz w:val="16"/>
                <w:szCs w:val="16"/>
                <w:lang w:eastAsia="it-IT"/>
              </w:rPr>
            </w:r>
          </w:p>
        </w:tc>
        <w:tc>
          <w:tcPr>
            <w:tcW w:w="576"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PC</w:t>
            </w:r>
          </w:p>
        </w:tc>
        <w:tc>
          <w:tcPr>
            <w:tcW w:w="576"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PR</w:t>
            </w:r>
          </w:p>
        </w:tc>
        <w:tc>
          <w:tcPr>
            <w:tcW w:w="577"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RE</w:t>
            </w:r>
          </w:p>
        </w:tc>
        <w:tc>
          <w:tcPr>
            <w:tcW w:w="577"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MO</w:t>
            </w:r>
          </w:p>
        </w:tc>
        <w:tc>
          <w:tcPr>
            <w:tcW w:w="577"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BO</w:t>
            </w:r>
          </w:p>
        </w:tc>
        <w:tc>
          <w:tcPr>
            <w:tcW w:w="577"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FE</w:t>
            </w:r>
          </w:p>
        </w:tc>
        <w:tc>
          <w:tcPr>
            <w:tcW w:w="583"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RA</w:t>
            </w:r>
          </w:p>
        </w:tc>
        <w:tc>
          <w:tcPr>
            <w:tcW w:w="571"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FC</w:t>
            </w:r>
          </w:p>
        </w:tc>
        <w:tc>
          <w:tcPr>
            <w:tcW w:w="577" w:type="dxa"/>
            <w:tcBorders>
              <w:top w:val="single" w:sz="4" w:space="0" w:color="000000"/>
              <w:bottom w:val="single" w:sz="4" w:space="0" w:color="000000"/>
            </w:tcBorders>
            <w:vAlign w:val="bottom"/>
          </w:tcPr>
          <w:p>
            <w:pPr>
              <w:pStyle w:val="Normal"/>
              <w:jc w:val="right"/>
              <w:rPr>
                <w:rFonts w:ascii="Aptos" w:hAnsi="Aptos" w:eastAsia="Times New Roman" w:cs="Times New Roman"/>
                <w:color w:val="000000"/>
                <w:sz w:val="16"/>
                <w:szCs w:val="16"/>
                <w:lang w:eastAsia="it-IT"/>
              </w:rPr>
            </w:pPr>
            <w:r>
              <w:rPr>
                <w:rFonts w:eastAsia="Times New Roman" w:cs="Times New Roman" w:ascii="Aptos" w:hAnsi="Aptos"/>
                <w:color w:val="000000"/>
                <w:sz w:val="16"/>
                <w:szCs w:val="16"/>
                <w:lang w:eastAsia="it-IT"/>
              </w:rPr>
              <w:t>RN</w:t>
            </w:r>
          </w:p>
        </w:tc>
      </w:tr>
      <w:tr>
        <w:trPr>
          <w:trHeight w:val="228" w:hRule="atLeast"/>
        </w:trPr>
        <w:tc>
          <w:tcPr>
            <w:tcW w:w="9945" w:type="dxa"/>
            <w:gridSpan w:val="12"/>
            <w:tcBorders>
              <w:top w:val="single" w:sz="4" w:space="0" w:color="000000"/>
            </w:tcBorders>
            <w:shd w:color="auto" w:fill="E7E6E6" w:themeFill="background2" w:val="clear"/>
            <w:vAlign w:val="bottom"/>
          </w:tcPr>
          <w:p>
            <w:pPr>
              <w:pStyle w:val="Normal"/>
              <w:jc w:val="center"/>
              <w:rPr>
                <w:rFonts w:ascii="Aptos" w:hAnsi="Aptos" w:eastAsia="Times New Roman" w:cs="Times New Roman"/>
                <w:b/>
                <w:bCs/>
                <w:color w:val="000000"/>
                <w:sz w:val="16"/>
                <w:szCs w:val="16"/>
                <w:lang w:eastAsia="it-IT"/>
              </w:rPr>
            </w:pPr>
            <w:r>
              <w:rPr>
                <w:rFonts w:eastAsia="Times New Roman" w:cs="Times New Roman" w:ascii="Aptos" w:hAnsi="Aptos"/>
                <w:b/>
                <w:bCs/>
                <w:color w:val="000000"/>
                <w:sz w:val="16"/>
                <w:szCs w:val="16"/>
                <w:lang w:eastAsia="it-IT"/>
              </w:rPr>
              <w:t>- Indici di variazione -</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Truffe, frodi e contraffazione</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7,0</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10,3</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8,4</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6,8</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Produzione, traffico e spaccio di stupefacenti</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-1,4</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-1,7</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0,3</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-2,7</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-1,8</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Ricettazione e contrabbando</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-4,5</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-5,4</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-5,4</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-5,6</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Estorsioni</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5,9</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10,6</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10,4</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6,1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10,6</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4,8</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4,5</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Furti e rapine organizzate</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-4,3</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-3,3</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-4,6</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-6,1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-4,8</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-11,2</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-1,3</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-5,8</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Danneggiamenti e attentati dinamitardi e incendiari</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-0,8</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-5,4</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-2,0</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0,0</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Riciclaggio e impiego di denaro</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-11,3</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3,8</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-1,5</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Sfruttamento della prostituzione</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-12,5</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-16,5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-14,2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-13,1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-4,5</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-9,1</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-17,2</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Associazione a delinquere semplice e mafiosa</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-8,1</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-7,1</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-9,5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-6,3</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Usura</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-13,6</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-10,2</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Omicidi di mafia</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w:t>
            </w:r>
          </w:p>
        </w:tc>
      </w:tr>
      <w:tr>
        <w:trPr>
          <w:trHeight w:val="216" w:hRule="atLeast"/>
        </w:trPr>
        <w:tc>
          <w:tcPr>
            <w:tcW w:w="3973" w:type="dxa"/>
            <w:tcBorders/>
            <w:vAlign w:val="bottom"/>
          </w:tcPr>
          <w:p>
            <w:pPr>
              <w:pStyle w:val="Normal"/>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Totale complessivo</w:t>
            </w:r>
          </w:p>
        </w:tc>
        <w:tc>
          <w:tcPr>
            <w:tcW w:w="558"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4,1</w:t>
            </w:r>
          </w:p>
        </w:tc>
        <w:tc>
          <w:tcPr>
            <w:tcW w:w="223"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r>
          </w:p>
        </w:tc>
        <w:tc>
          <w:tcPr>
            <w:tcW w:w="576"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6,0</w:t>
            </w:r>
          </w:p>
        </w:tc>
        <w:tc>
          <w:tcPr>
            <w:tcW w:w="576"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5,7</w:t>
            </w:r>
          </w:p>
        </w:tc>
        <w:tc>
          <w:tcPr>
            <w:tcW w:w="577"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5,4</w:t>
            </w:r>
          </w:p>
        </w:tc>
        <w:tc>
          <w:tcPr>
            <w:tcW w:w="577"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4,9</w:t>
            </w:r>
          </w:p>
        </w:tc>
        <w:tc>
          <w:tcPr>
            <w:tcW w:w="577"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3,5</w:t>
            </w:r>
          </w:p>
        </w:tc>
        <w:tc>
          <w:tcPr>
            <w:tcW w:w="577"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5,4</w:t>
            </w:r>
          </w:p>
        </w:tc>
        <w:tc>
          <w:tcPr>
            <w:tcW w:w="583"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3,6</w:t>
            </w:r>
          </w:p>
        </w:tc>
        <w:tc>
          <w:tcPr>
            <w:tcW w:w="571"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1,8</w:t>
            </w:r>
          </w:p>
        </w:tc>
        <w:tc>
          <w:tcPr>
            <w:tcW w:w="577" w:type="dxa"/>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3,0</w:t>
            </w:r>
          </w:p>
        </w:tc>
      </w:tr>
      <w:tr>
        <w:trPr>
          <w:trHeight w:val="228" w:hRule="atLeast"/>
        </w:trPr>
        <w:tc>
          <w:tcPr>
            <w:tcW w:w="9945" w:type="dxa"/>
            <w:gridSpan w:val="12"/>
            <w:tcBorders/>
            <w:shd w:color="auto" w:fill="E7E6E6" w:themeFill="background2" w:val="clear"/>
            <w:vAlign w:val="bottom"/>
          </w:tcPr>
          <w:p>
            <w:pPr>
              <w:pStyle w:val="Normal"/>
              <w:jc w:val="center"/>
              <w:rPr>
                <w:rFonts w:ascii="Times New Roman" w:hAnsi="Times New Roman" w:eastAsia="Times New Roman" w:cs="Times New Roman"/>
                <w:sz w:val="20"/>
                <w:szCs w:val="20"/>
                <w:lang w:eastAsia="it-IT"/>
              </w:rPr>
            </w:pPr>
            <w:r>
              <w:rPr>
                <w:rFonts w:eastAsia="Times New Roman" w:cs="Times New Roman" w:ascii="Aptos" w:hAnsi="Aptos"/>
                <w:b/>
                <w:bCs/>
                <w:sz w:val="16"/>
                <w:szCs w:val="16"/>
                <w:lang w:eastAsia="it-IT"/>
              </w:rPr>
              <w:t>- Tassi di delittuosità -</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Truffe, frodi e contraffazione</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298</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232</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305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231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259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385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291</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287</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257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335</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Produzione, traffico e spaccio di stupefacenti</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58</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48</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53</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75</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80</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Ricettazione e contrabbando</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37</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27</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26</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29</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47</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56</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Estorsioni</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14</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11</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13</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14</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20</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Furti e rapine organizzate</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13</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14</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12</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9</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17</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Danneggiamenti e attentati dinamitardi e incendiari</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8</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7</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9</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9</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10</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Riciclaggio e impiego di denaro</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5</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3</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Sfruttamento della prostituzione</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4</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Associazione a delinquere semplice e mafiosa</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Usura</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2</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1</w:t>
            </w:r>
          </w:p>
        </w:tc>
      </w:tr>
      <w:tr>
        <w:trPr>
          <w:trHeight w:val="216" w:hRule="atLeast"/>
        </w:trPr>
        <w:tc>
          <w:tcPr>
            <w:tcW w:w="3973" w:type="dxa"/>
            <w:tcBorders/>
            <w:vAlign w:val="bottom"/>
          </w:tcPr>
          <w:p>
            <w:pPr>
              <w:pStyle w:val="Normal"/>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Omicidi di mafia</w:t>
            </w:r>
          </w:p>
        </w:tc>
        <w:tc>
          <w:tcPr>
            <w:tcW w:w="558"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22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6"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83"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1"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c>
          <w:tcPr>
            <w:tcW w:w="577" w:type="dxa"/>
            <w:tcBorders/>
            <w:vAlign w:val="bottom"/>
          </w:tcPr>
          <w:p>
            <w:pPr>
              <w:pStyle w:val="Normal"/>
              <w:jc w:val="right"/>
              <w:rPr>
                <w:rFonts w:ascii="Aptos Narrow" w:hAnsi="Aptos Narrow" w:eastAsia="Times New Roman" w:cs="Times New Roman"/>
                <w:sz w:val="16"/>
                <w:szCs w:val="16"/>
                <w:lang w:eastAsia="it-IT"/>
              </w:rPr>
            </w:pPr>
            <w:r>
              <w:rPr>
                <w:rFonts w:eastAsia="Times New Roman" w:cs="Times New Roman" w:ascii="Aptos Narrow" w:hAnsi="Aptos Narrow"/>
                <w:sz w:val="16"/>
                <w:szCs w:val="16"/>
                <w:lang w:eastAsia="it-IT"/>
              </w:rPr>
              <w:t>0</w:t>
            </w:r>
          </w:p>
        </w:tc>
      </w:tr>
      <w:tr>
        <w:trPr>
          <w:trHeight w:val="216" w:hRule="atLeast"/>
        </w:trPr>
        <w:tc>
          <w:tcPr>
            <w:tcW w:w="3973" w:type="dxa"/>
            <w:tcBorders>
              <w:bottom w:val="single" w:sz="4" w:space="0" w:color="000000"/>
            </w:tcBorders>
            <w:vAlign w:val="bottom"/>
          </w:tcPr>
          <w:p>
            <w:pPr>
              <w:pStyle w:val="Normal"/>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Totale complessivo</w:t>
            </w:r>
          </w:p>
        </w:tc>
        <w:tc>
          <w:tcPr>
            <w:tcW w:w="558"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434</w:t>
            </w:r>
          </w:p>
        </w:tc>
        <w:tc>
          <w:tcPr>
            <w:tcW w:w="223" w:type="dxa"/>
            <w:tcBorders>
              <w:bottom w:val="single" w:sz="4" w:space="0" w:color="000000"/>
            </w:tcBorders>
            <w:vAlign w:val="bottom"/>
          </w:tcPr>
          <w:p>
            <w:pPr>
              <w:pStyle w:val="Normal"/>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r>
          </w:p>
        </w:tc>
        <w:tc>
          <w:tcPr>
            <w:tcW w:w="576"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339</w:t>
            </w:r>
          </w:p>
        </w:tc>
        <w:tc>
          <w:tcPr>
            <w:tcW w:w="576"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433</w:t>
            </w:r>
          </w:p>
        </w:tc>
        <w:tc>
          <w:tcPr>
            <w:tcW w:w="577"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329</w:t>
            </w:r>
          </w:p>
        </w:tc>
        <w:tc>
          <w:tcPr>
            <w:tcW w:w="577"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367</w:t>
            </w:r>
          </w:p>
        </w:tc>
        <w:tc>
          <w:tcPr>
            <w:tcW w:w="577"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557</w:t>
            </w:r>
          </w:p>
        </w:tc>
        <w:tc>
          <w:tcPr>
            <w:tcW w:w="577"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409</w:t>
            </w:r>
          </w:p>
        </w:tc>
        <w:tc>
          <w:tcPr>
            <w:tcW w:w="583"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452</w:t>
            </w:r>
          </w:p>
        </w:tc>
        <w:tc>
          <w:tcPr>
            <w:tcW w:w="571"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371</w:t>
            </w:r>
          </w:p>
        </w:tc>
        <w:tc>
          <w:tcPr>
            <w:tcW w:w="577" w:type="dxa"/>
            <w:tcBorders>
              <w:bottom w:val="single" w:sz="4" w:space="0" w:color="000000"/>
            </w:tcBorders>
            <w:vAlign w:val="bottom"/>
          </w:tcPr>
          <w:p>
            <w:pPr>
              <w:pStyle w:val="Normal"/>
              <w:jc w:val="right"/>
              <w:rPr>
                <w:rFonts w:ascii="Aptos Narrow" w:hAnsi="Aptos Narrow" w:eastAsia="Times New Roman" w:cs="Times New Roman"/>
                <w:b/>
                <w:bCs/>
                <w:sz w:val="16"/>
                <w:szCs w:val="16"/>
                <w:lang w:eastAsia="it-IT"/>
              </w:rPr>
            </w:pPr>
            <w:r>
              <w:rPr>
                <w:rFonts w:eastAsia="Times New Roman" w:cs="Times New Roman" w:ascii="Aptos Narrow" w:hAnsi="Aptos Narrow"/>
                <w:b/>
                <w:bCs/>
                <w:sz w:val="16"/>
                <w:szCs w:val="16"/>
                <w:lang w:eastAsia="it-IT"/>
              </w:rPr>
              <w:t>523</w:t>
            </w:r>
          </w:p>
        </w:tc>
      </w:tr>
    </w:tbl>
    <w:p>
      <w:pPr>
        <w:pStyle w:val="Normal"/>
        <w:jc w:val="both"/>
        <w:rPr>
          <w:rFonts w:ascii="Arial" w:hAnsi="Arial" w:cs="Arial"/>
          <w:sz w:val="16"/>
          <w:szCs w:val="16"/>
        </w:rPr>
      </w:pPr>
      <w:r>
        <w:rPr>
          <w:rFonts w:cs="Arial" w:ascii="Arial" w:hAnsi="Arial"/>
          <w:sz w:val="16"/>
          <w:szCs w:val="16"/>
        </w:rPr>
        <w:t>Fonte: Nostra elaborazione su dati SDI del Ministero dell’Interno.</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Sul versante delle tendenze evolutive, emergono alcune criticità riferite principalmente alla crescita delle truffe, delle estorsioni e, in alcune realtà, del riciclaggio. In particolare, le province di Piacenza, Parma e Ferrara mostrano incrementi particolarmente marcati nelle truffe e nelle estorsioni, mentre quelle di Parma, Modena, Ferrara e soprattutto Ravenna registrano una crescita significativa del riciclaggio, un evidente segnale, questo, del tentativo dei gruppi criminali di infiltrarsi nell’economia sana del territorio. Parallelamente, la contrazione più netta di reati riguarda l’ambito della prostituzione e dell’usura, due fenomeni che tuttavia non scompaiono, ma tendono a ridimensionarsi ed assumere forme meno evidenti.</w:t>
      </w:r>
    </w:p>
    <w:p>
      <w:pPr>
        <w:pStyle w:val="Normal"/>
        <w:ind w:firstLine="284"/>
        <w:jc w:val="both"/>
        <w:rPr>
          <w:rFonts w:ascii="Arial" w:hAnsi="Arial" w:cs="Arial"/>
          <w:sz w:val="22"/>
          <w:szCs w:val="22"/>
        </w:rPr>
      </w:pPr>
      <w:r>
        <w:rPr>
          <w:rFonts w:cs="Arial" w:ascii="Arial" w:hAnsi="Arial"/>
          <w:sz w:val="22"/>
          <w:szCs w:val="22"/>
        </w:rPr>
        <w:t>I tassi di delittuosità, invece, delineano una forte concentrazione di questi reati nei poli con più elevati indici di urbanizzazione e a maggiore densità economica. Bologna e Rimini si confermano come i due poli di massima intensità criminale in regione, specialmente per quanto riguarda le truffe, gli stupefacenti, la ricettazione, le estorsioni e i furti e le rapine organizzate: dati che confermano la vulnerabilità strutturale delle aree metropolitane e quelle ad alta vocazione turistica, dove volumi elevati di mobilità, scambi e attività economiche ampliano le opportunità criminali. Pur non raggiungendo i livelli di Bologna e Rimini, anche Ravenna presenta valori complessivi di criminalità superiori alla media regionale, mentre le restanti province si collocano al di sotto di tale soglia, pur evidenziando alcune specificità significative in relazione a particolari tipologie di reato.</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r>
    </w:p>
    <w:p>
      <w:pPr>
        <w:pStyle w:val="Normal"/>
        <w:ind w:hanging="252" w:left="252"/>
        <w:jc w:val="both"/>
        <w:rPr>
          <w:rFonts w:ascii="Arial" w:hAnsi="Arial" w:cs="Arial"/>
          <w:b/>
          <w:bCs/>
          <w:sz w:val="22"/>
          <w:szCs w:val="22"/>
        </w:rPr>
      </w:pPr>
      <w:r>
        <w:rPr>
          <w:rFonts w:cs="Arial" w:ascii="Arial" w:hAnsi="Arial"/>
          <w:b/>
          <w:bCs/>
          <w:sz w:val="22"/>
          <w:szCs w:val="22"/>
        </w:rPr>
        <w:t>2.2.Controllo del territorio, gestione di traffici illeciti, reati economico-finanziari</w:t>
      </w:r>
    </w:p>
    <w:p>
      <w:pPr>
        <w:pStyle w:val="Normal"/>
        <w:ind w:firstLine="284"/>
        <w:jc w:val="both"/>
        <w:rPr>
          <w:rFonts w:ascii="Arial" w:hAnsi="Arial" w:cs="Arial"/>
          <w:sz w:val="22"/>
          <w:szCs w:val="22"/>
        </w:rPr>
      </w:pPr>
      <w:r>
        <w:rPr>
          <w:rFonts w:cs="Arial" w:ascii="Arial" w:hAnsi="Arial"/>
          <w:sz w:val="22"/>
          <w:szCs w:val="22"/>
        </w:rPr>
        <w:t>Una sintesi efficace dei principali risultati finora esposti può essere ricavata dall’analisi della tabella 4, che presenta tre indici finalizzati a misurare l’incidenza della criminalità organizzata nel territorio regionale. Tali indici derivano dai reati precedentemente esaminati in dettaglio e sono stati raggruppati, in linea con quanto riconosciuto dalla letteratura, in tre ambiti operativi nei quali agiscono i gruppi criminali: il controllo del territorio, la gestione dei traffici illeciti e le attività criminali di natura economico-finanziaria.</w:t>
      </w:r>
    </w:p>
    <w:p>
      <w:pPr>
        <w:pStyle w:val="Normal"/>
        <w:ind w:firstLine="284"/>
        <w:jc w:val="both"/>
        <w:rPr>
          <w:rFonts w:ascii="Arial" w:hAnsi="Arial" w:cs="Arial"/>
          <w:sz w:val="22"/>
          <w:szCs w:val="22"/>
        </w:rPr>
      </w:pPr>
      <w:r>
        <w:rPr>
          <w:rFonts w:cs="Arial" w:ascii="Arial" w:hAnsi="Arial"/>
          <w:sz w:val="22"/>
          <w:szCs w:val="22"/>
        </w:rPr>
        <w:t xml:space="preserve">Nel primo ambito – quello che Anton Block, negli anni Trenta, definiva </w:t>
      </w:r>
      <w:r>
        <w:rPr>
          <w:rFonts w:cs="Arial" w:ascii="Arial" w:hAnsi="Arial"/>
          <w:i/>
          <w:iCs/>
          <w:sz w:val="22"/>
          <w:szCs w:val="22"/>
        </w:rPr>
        <w:t>“Power Syndicate”</w:t>
      </w:r>
      <w:r>
        <w:rPr>
          <w:rFonts w:cs="Arial" w:ascii="Arial" w:hAnsi="Arial"/>
          <w:sz w:val="22"/>
          <w:szCs w:val="22"/>
        </w:rPr>
        <w:t xml:space="preserve"> – rientrano diversi reatispia che segnalano la capacità delle organizzazioni criminali di esercitare un controllo diretto sul territorio. Si tratta di attività generalmente consolidate, che incidono con maggiore intensità nelle aree di origine delle mafie o in quelle in cui risultano radicate da più tempo. A questo ambito appartengono gli omicidi di mafia, le associazioni di tipo mafioso, le estorsioni, i danneggiamenti e gli attentati dinamitardi o incendiari.</w:t>
      </w:r>
    </w:p>
    <w:p>
      <w:pPr>
        <w:pStyle w:val="Normal"/>
        <w:ind w:firstLine="284"/>
        <w:jc w:val="both"/>
        <w:rPr>
          <w:rFonts w:ascii="Arial" w:hAnsi="Arial" w:cs="Arial"/>
          <w:sz w:val="22"/>
          <w:szCs w:val="22"/>
        </w:rPr>
      </w:pPr>
      <w:r>
        <w:rPr>
          <w:rFonts w:cs="Arial" w:ascii="Arial" w:hAnsi="Arial"/>
          <w:sz w:val="22"/>
          <w:szCs w:val="22"/>
        </w:rPr>
        <w:t xml:space="preserve">Nel secondo ambito – la gestione dei traffici illeciti, definita da Block </w:t>
      </w:r>
      <w:r>
        <w:rPr>
          <w:rFonts w:cs="Arial" w:ascii="Arial" w:hAnsi="Arial"/>
          <w:i/>
          <w:iCs/>
          <w:sz w:val="22"/>
          <w:szCs w:val="22"/>
        </w:rPr>
        <w:t>“Enterprise Syndicate”</w:t>
      </w:r>
      <w:r>
        <w:rPr>
          <w:rFonts w:cs="Arial" w:ascii="Arial" w:hAnsi="Arial"/>
          <w:sz w:val="22"/>
          <w:szCs w:val="22"/>
        </w:rPr>
        <w:t xml:space="preserve"> – rientrano i reati relativi al traffico di stupefacenti, allo sfruttamento della prostituzione, ai furti e alle rapine organizzate, alla ricettazione, al contrabbando, alla contraffazione di marchi e prodotti industriali, nonché alle associazioni a delinquere semplici. Queste attività risultano tendenzialmente diffuse sia nei territori di origine mafiosa sia in contesti urbani di grandi dimensioni, e riflettono la capacità del crimine organizzato di strutturare e gestire traffici illeciti complessi.</w:t>
      </w:r>
    </w:p>
    <w:p>
      <w:pPr>
        <w:pStyle w:val="Normal"/>
        <w:ind w:firstLine="284"/>
        <w:jc w:val="both"/>
        <w:rPr>
          <w:rFonts w:ascii="Arial" w:hAnsi="Arial" w:cs="Arial"/>
          <w:sz w:val="22"/>
          <w:szCs w:val="22"/>
        </w:rPr>
      </w:pPr>
      <w:r>
        <w:rPr>
          <w:rFonts w:cs="Arial" w:ascii="Arial" w:hAnsi="Arial"/>
          <w:sz w:val="22"/>
          <w:szCs w:val="22"/>
        </w:rPr>
        <w:t>Nel terzo ambito – quello delle attività criminali economico-finanziarie – rientrano i reati di riciclaggio e impiego di denaro, beni o altre utilità di provenienza illecita, l’usura, le truffe e le frodi. Tali attività tendono a concentrarsi nei contesti economicamente e finanziariamente più dinamici e coinvolgono una rete di soggetti spesso appartenenti al mondo delle professioni, non necessariamente inseriti nelle organizzazioni criminali ma in grado di fornire competenze tecniche specializzate: i cosiddetti colletti bianchi.</w:t>
      </w:r>
    </w:p>
    <w:p>
      <w:pPr>
        <w:pStyle w:val="Normal"/>
        <w:ind w:firstLine="284"/>
        <w:jc w:val="both"/>
        <w:rPr>
          <w:rFonts w:ascii="Arial" w:hAnsi="Arial" w:cs="Arial"/>
          <w:sz w:val="22"/>
          <w:szCs w:val="22"/>
        </w:rPr>
      </w:pPr>
      <w:r>
        <w:rPr>
          <w:rFonts w:cs="Arial" w:ascii="Arial" w:hAnsi="Arial"/>
          <w:sz w:val="22"/>
          <w:szCs w:val="22"/>
        </w:rPr>
        <w:t>Alla luce di questa tripartizione analitica, la lettura congiunta degli indici evidenzia l’esistenza di configurazioni territoriali piuttosto differenziate all’interno dell’Emilia-Romagna. La regione, pur presentando un quadro in linea con quello registrato a livello nazionale, presenta profili peculiari rispetto alla sua area di riferimento che ne riflettono la struttura socioeconomica, la composizione del tessuto urbano e la diversa intensità della presenza criminale rispetto ai territori limitrofi.</w:t>
      </w:r>
    </w:p>
    <w:p>
      <w:pPr>
        <w:pStyle w:val="Normal"/>
        <w:ind w:firstLine="284"/>
        <w:jc w:val="both"/>
        <w:rPr>
          <w:rFonts w:ascii="Arial" w:hAnsi="Arial" w:cs="Arial"/>
          <w:sz w:val="22"/>
          <w:szCs w:val="22"/>
        </w:rPr>
      </w:pPr>
      <w:r>
        <w:rPr>
          <w:rFonts w:cs="Arial" w:ascii="Arial" w:hAnsi="Arial"/>
          <w:sz w:val="22"/>
          <w:szCs w:val="22"/>
        </w:rPr>
        <w:t>Nel dominio del controllo del territorio (</w:t>
      </w:r>
      <w:r>
        <w:rPr>
          <w:rFonts w:cs="Arial" w:ascii="Arial" w:hAnsi="Arial"/>
          <w:i/>
          <w:iCs/>
          <w:sz w:val="22"/>
          <w:szCs w:val="22"/>
        </w:rPr>
        <w:t>Power Syndacate</w:t>
      </w:r>
      <w:r>
        <w:rPr>
          <w:rFonts w:cs="Arial" w:ascii="Arial" w:hAnsi="Arial"/>
          <w:sz w:val="22"/>
          <w:szCs w:val="22"/>
        </w:rPr>
        <w:t xml:space="preserve">), l’Emilia-Romagna mostra un livello complessivo di delittuosità (22 reati ogni 100 mila abitanti) superiore alla media del Nord-Est, ma significativamente inferiore a quella nazionale. L’indice di variazionepositivo(3,3 punti percentuali) suggerisce una tendenza alla crescita delle attività criminali con la finalità di controllo territoriale, coerente con la progressiva e generale radicazione principalmente di pratiche estorsive, specie in alcuni contesti localicome Piacenza, Parma e Ferrara. A livello provinciale emerge con chiarezza il ruolo di Bologna e di Rimini, due province dove il peso delle attività criminali finalizzati al controllo territoriale risulta decisamente più elevato della media regionale, arrivando ad uguagliare quello registrato a livello nazionale (rispettivamente 29 e 30 ogni 100 mila abitanti). </w:t>
      </w:r>
    </w:p>
    <w:p>
      <w:pPr>
        <w:pStyle w:val="Normal"/>
        <w:ind w:firstLine="284"/>
        <w:jc w:val="both"/>
        <w:rPr>
          <w:rFonts w:ascii="Arial" w:hAnsi="Arial" w:cs="Arial"/>
          <w:sz w:val="22"/>
          <w:szCs w:val="22"/>
        </w:rPr>
      </w:pPr>
      <w:r>
        <w:rPr>
          <w:rFonts w:cs="Arial" w:ascii="Arial" w:hAnsi="Arial"/>
          <w:sz w:val="22"/>
          <w:szCs w:val="22"/>
        </w:rPr>
        <w:t>Nel settore della gestione dei traffici illeciti (</w:t>
      </w:r>
      <w:r>
        <w:rPr>
          <w:rFonts w:cs="Arial" w:ascii="Arial" w:hAnsi="Arial"/>
          <w:i/>
          <w:iCs/>
          <w:sz w:val="22"/>
          <w:szCs w:val="22"/>
        </w:rPr>
        <w:t>Enterprise Syndicate</w:t>
      </w:r>
      <w:r>
        <w:rPr>
          <w:rFonts w:cs="Arial" w:ascii="Arial" w:hAnsi="Arial"/>
          <w:sz w:val="22"/>
          <w:szCs w:val="22"/>
        </w:rPr>
        <w:t>) la regione mostra una dinamica opposta: l’indice medio di variazione è moderatamente negativo (-2,8%), in linea sia con il Nord-Est sia con il contesto nazionale. Il dato suggerisce un’attenuazione nel tempo di queste attività, probabilmente in parte riconducibile all’evoluzione delle strategie di mercato delle organizzazioni criminali, sempre più orientate verso economie illegali meno visibili e più remunerative. Tuttavia, il tasso di delittuosità regionale (117) rimane superiore a quello del Nord-Est e vicino a quello nazionale, segnalando che la domanda e l’offerta di traffici illegali – soprattutto degli stupefacenti – restano strutturalmente rilevanti per i gruppi criminali, soprattutto in alcune aree urbane. Sul piano provinciale, Bologna, Ravenna e Rimini si collocano stabilmente su livelli molto alti di delittuosità (tra 148, 155 e 170 ogni 100 mila abitanti), riflettendo la combinazione di fattori che favoriscono tali economie criminali: maggiore densità urbana, intensa mobilità, attrattività turistica e presenza di infrastrutture logistiche. Parma e Ferrara, invece, mostrano valori intermedi, sebbene inferiori alla media regionale, mentre Reggio Emilia, Modena e Piacenza presentano livelli sensibilmente più contenuti, rivelando un radicamento minore della filiera del traffico illecito rispetto ad altri comparti criminali.</w:t>
      </w:r>
    </w:p>
    <w:p>
      <w:pPr>
        <w:pStyle w:val="Normal"/>
        <w:ind w:firstLine="284"/>
        <w:jc w:val="both"/>
        <w:rPr>
          <w:rFonts w:ascii="Arial" w:hAnsi="Arial" w:cs="Arial"/>
          <w:sz w:val="22"/>
          <w:szCs w:val="22"/>
        </w:rPr>
      </w:pPr>
      <w:r>
        <w:rPr>
          <w:rFonts w:cs="Arial" w:ascii="Arial" w:hAnsi="Arial"/>
          <w:sz w:val="22"/>
          <w:szCs w:val="22"/>
        </w:rPr>
        <w:t>La terza sfera, quella del crimine economico e finanziario, costituisce l’ambito in cui l’Emilia-Romagna si colloca in modo più evidente in prossimità della media nazionale: il tasso di delittuosità regionale in questo caso (294) coincide con quello italiano, ma ancora una volta risulta essere più elevato rispetto al dato del Nord-Est. L’indice di variazione, positivo di sette punti percentuali, segnala una crescita costante di reati come riciclaggio, impiego di capitali illeciti, frodi e usura. Tale dinamica risulta coerente con la configurazione economica della regione, contraddistinta da un tessuto produttivo particolarmente articolato e dinamico, da reti imprenditoriali diversificate e da un’ampia disponibilità di competenze tecniche. Questi elementi concorrono a delineare un contesto che, per la sua complessità e capacità attrattiva, offre ai gruppi criminali maggiori opportunità di allocare e reinvestire capitali di provenienza illecita all’interno di specifici settori economici.A livello territoriale, Bologna si distingue nettamente per la concentrazione di delitti economico-finanziari (oltre 60 mila) e per l’elevatissimo tasso di delittuosità (379), confermandosi ancora una volta nodo strategico tanto per l’economia legale quanto per quella illegale. Anche Parma, Rimini, Modena e Ferrara presentano valori molto sopra la media regionale, segnalando una forte esposizione ai reati collegati alla circolazione e reimpiego dei capitali. Province come Piacenza e Reggio Emilia mostrano invece tassi più contenuti, pur registrando indici di variazione positivi elevati a dimostrazione di un processo in crescita di questi crimini.</w:t>
      </w:r>
    </w:p>
    <w:p>
      <w:pPr>
        <w:pStyle w:val="Normal"/>
        <w:ind w:firstLine="284"/>
        <w:jc w:val="both"/>
        <w:rPr>
          <w:rFonts w:ascii="Arial" w:hAnsi="Arial" w:cs="Arial"/>
          <w:sz w:val="22"/>
          <w:szCs w:val="22"/>
        </w:rPr>
      </w:pPr>
      <w:r>
        <w:rPr>
          <w:rFonts w:cs="Arial" w:ascii="Arial" w:hAnsi="Arial"/>
          <w:sz w:val="22"/>
          <w:szCs w:val="22"/>
        </w:rPr>
        <w:t>Nel complesso, dunque, i dati esposti fin qui delineano per l’Emilia-Romagna un quadro in cui gli interessi criminali risultano articolati e differenziati. Le attività orientate al controllo del territorio appaiono relativamente contenute, sebbene generalmente in crescita; quelle legate alla gestione dei traffici illeciti — in particolare del narcotraffico —, pur mostrando una tendenza decrescente, mantengono livelli strutturalmente elevati; mentre le dinamiche economiche e finanziarie mirate a infiltrare e condizionare il tessuto produttivo regionale risultano profondamente radicate e in espansione. Le differenze osservabili tra le province non riflettono soltanto variazioni nell’intensità dell’azione criminale, ma anche le specificità socioeconomiche e urbane dei diversi contesti locali. Ciò suggerisce che le organizzazioni criminali modulano le proprie strategie in modo flessibile, adattandole alle caratteristiche dei territori e sfruttandone tanto i punti di forza quanto le aree di vulnerabilità.</w:t>
      </w:r>
    </w:p>
    <w:p>
      <w:pPr>
        <w:pStyle w:val="Normal"/>
        <w:ind w:firstLine="284"/>
        <w:jc w:val="both"/>
        <w:rPr>
          <w:rFonts w:ascii="Arial" w:hAnsi="Arial" w:cs="Arial"/>
          <w:sz w:val="22"/>
          <w:szCs w:val="22"/>
        </w:rPr>
      </w:pPr>
      <w:r>
        <w:rPr>
          <w:rFonts w:cs="Arial" w:ascii="Arial" w:hAnsi="Arial"/>
          <w:sz w:val="22"/>
          <w:szCs w:val="22"/>
        </w:rPr>
      </w:r>
    </w:p>
    <w:p>
      <w:pPr>
        <w:pStyle w:val="Normal"/>
        <w:jc w:val="both"/>
        <w:rPr>
          <w:rFonts w:ascii="Times New Roman" w:hAnsi="Times New Roman" w:cs="Times New Roman"/>
          <w:b/>
          <w:bCs/>
          <w:smallCaps/>
          <w:sz w:val="20"/>
          <w:szCs w:val="20"/>
        </w:rPr>
      </w:pPr>
      <w:r>
        <w:rPr>
          <w:rFonts w:cs="Times New Roman" w:ascii="Times New Roman" w:hAnsi="Times New Roman"/>
          <w:b/>
          <w:bCs/>
          <w:smallCaps/>
          <w:sz w:val="20"/>
          <w:szCs w:val="20"/>
        </w:rPr>
        <w:t>Tabella 4:</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 xml:space="preserve">Presenza della criminalità organizzata nelle province dell’Emilia-Romagna secondo gli indici di </w:t>
      </w:r>
      <w:r>
        <w:rPr>
          <w:rFonts w:cs="Times New Roman" w:ascii="Times New Roman" w:hAnsi="Times New Roman"/>
          <w:i/>
          <w:iCs/>
          <w:smallCaps/>
          <w:sz w:val="18"/>
          <w:szCs w:val="18"/>
        </w:rPr>
        <w:t>“Power Syndacate”</w:t>
      </w:r>
      <w:r>
        <w:rPr>
          <w:rFonts w:cs="Times New Roman" w:ascii="Times New Roman" w:hAnsi="Times New Roman"/>
          <w:smallCaps/>
          <w:sz w:val="18"/>
          <w:szCs w:val="18"/>
        </w:rPr>
        <w:t xml:space="preserve">, </w:t>
      </w:r>
      <w:r>
        <w:rPr>
          <w:rFonts w:cs="Times New Roman" w:ascii="Times New Roman" w:hAnsi="Times New Roman"/>
          <w:i/>
          <w:iCs/>
          <w:smallCaps/>
          <w:sz w:val="18"/>
          <w:szCs w:val="18"/>
        </w:rPr>
        <w:t>“Enterprise Syndacate”</w:t>
      </w:r>
      <w:r>
        <w:rPr>
          <w:rFonts w:cs="Times New Roman" w:ascii="Times New Roman" w:hAnsi="Times New Roman"/>
          <w:smallCaps/>
          <w:sz w:val="18"/>
          <w:szCs w:val="18"/>
        </w:rPr>
        <w:t xml:space="preserve"> e delle attività criminali economiche-finanziarie. Periodo 2008-2023(numero complessivo dei reati denunciati; indice di variazione medio annuale; tasso medio annuo di delittuosità per 100.000 abitanti).</w:t>
      </w:r>
    </w:p>
    <w:tbl>
      <w:tblPr>
        <w:tblW w:w="5000" w:type="pct"/>
        <w:jc w:val="left"/>
        <w:tblInd w:w="140" w:type="dxa"/>
        <w:tblLayout w:type="fixed"/>
        <w:tblCellMar>
          <w:top w:w="0" w:type="dxa"/>
          <w:left w:w="70" w:type="dxa"/>
          <w:bottom w:w="0" w:type="dxa"/>
          <w:right w:w="70" w:type="dxa"/>
        </w:tblCellMar>
        <w:tblLook w:val="04a0"/>
      </w:tblPr>
      <w:tblGrid>
        <w:gridCol w:w="1814"/>
        <w:gridCol w:w="821"/>
        <w:gridCol w:w="941"/>
        <w:gridCol w:w="780"/>
        <w:gridCol w:w="171"/>
        <w:gridCol w:w="819"/>
        <w:gridCol w:w="943"/>
        <w:gridCol w:w="782"/>
        <w:gridCol w:w="169"/>
        <w:gridCol w:w="972"/>
        <w:gridCol w:w="788"/>
        <w:gridCol w:w="945"/>
      </w:tblGrid>
      <w:tr>
        <w:trPr>
          <w:trHeight w:val="225" w:hRule="atLeast"/>
        </w:trPr>
        <w:tc>
          <w:tcPr>
            <w:tcW w:w="1814" w:type="dxa"/>
            <w:tcBorders>
              <w:top w:val="single" w:sz="4" w:space="0" w:color="000000"/>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r>
          </w:p>
        </w:tc>
        <w:tc>
          <w:tcPr>
            <w:tcW w:w="2542" w:type="dxa"/>
            <w:gridSpan w:val="3"/>
            <w:tcBorders>
              <w:top w:val="single" w:sz="4" w:space="0" w:color="000000"/>
              <w:bottom w:val="single" w:sz="4" w:space="0" w:color="000000"/>
            </w:tcBorders>
            <w:vAlign w:val="center"/>
          </w:tcPr>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t>Power Syndacate</w:t>
            </w:r>
          </w:p>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t>(Controllo del territorio)</w:t>
            </w:r>
          </w:p>
        </w:tc>
        <w:tc>
          <w:tcPr>
            <w:tcW w:w="171" w:type="dxa"/>
            <w:tcBorders>
              <w:top w:val="single" w:sz="4" w:space="0" w:color="000000"/>
            </w:tcBorders>
            <w:vAlign w:val="center"/>
          </w:tcPr>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r>
          </w:p>
        </w:tc>
        <w:tc>
          <w:tcPr>
            <w:tcW w:w="2544" w:type="dxa"/>
            <w:gridSpan w:val="3"/>
            <w:tcBorders>
              <w:top w:val="single" w:sz="4" w:space="0" w:color="000000"/>
              <w:bottom w:val="single" w:sz="4" w:space="0" w:color="000000"/>
            </w:tcBorders>
            <w:vAlign w:val="center"/>
          </w:tcPr>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t>Enterprise Syndacate</w:t>
            </w:r>
          </w:p>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t>(Gestione dei traffici illeciti)</w:t>
            </w:r>
          </w:p>
        </w:tc>
        <w:tc>
          <w:tcPr>
            <w:tcW w:w="169" w:type="dxa"/>
            <w:tcBorders>
              <w:top w:val="single" w:sz="4" w:space="0" w:color="000000"/>
            </w:tcBorders>
            <w:vAlign w:val="center"/>
          </w:tcPr>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r>
          </w:p>
        </w:tc>
        <w:tc>
          <w:tcPr>
            <w:tcW w:w="2705" w:type="dxa"/>
            <w:gridSpan w:val="3"/>
            <w:tcBorders>
              <w:top w:val="single" w:sz="4" w:space="0" w:color="000000"/>
              <w:bottom w:val="single" w:sz="4" w:space="0" w:color="000000"/>
            </w:tcBorders>
            <w:vAlign w:val="center"/>
          </w:tcPr>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t>Crimine</w:t>
            </w:r>
          </w:p>
          <w:p>
            <w:pPr>
              <w:pStyle w:val="Normal"/>
              <w:jc w:val="center"/>
              <w:rPr>
                <w:rFonts w:eastAsia="Times New Roman" w:cs="Calibri" w:cstheme="minorHAnsi"/>
                <w:sz w:val="16"/>
                <w:szCs w:val="16"/>
                <w:lang w:eastAsia="it-IT"/>
              </w:rPr>
            </w:pPr>
            <w:r>
              <w:rPr>
                <w:rFonts w:eastAsia="Times New Roman" w:cs="Calibri" w:cstheme="minorHAnsi"/>
                <w:sz w:val="16"/>
                <w:szCs w:val="16"/>
                <w:lang w:eastAsia="it-IT"/>
              </w:rPr>
              <w:t>Economico-Finanziario</w:t>
            </w:r>
          </w:p>
        </w:tc>
      </w:tr>
      <w:tr>
        <w:trPr>
          <w:trHeight w:val="1767" w:hRule="atLeast"/>
          <w:cantSplit w:val="true"/>
        </w:trPr>
        <w:tc>
          <w:tcPr>
            <w:tcW w:w="1814" w:type="dxa"/>
            <w:tcBorders>
              <w:bottom w:val="single" w:sz="4" w:space="0" w:color="000000"/>
            </w:tcBorders>
            <w:textDirection w:val="btLr"/>
            <w:vAlign w:val="bottom"/>
          </w:tcPr>
          <w:p>
            <w:pPr>
              <w:pStyle w:val="Normal"/>
              <w:ind w:left="113" w:right="113"/>
              <w:rPr>
                <w:rFonts w:eastAsia="Times New Roman" w:cs="Calibri" w:cstheme="minorHAnsi"/>
                <w:sz w:val="16"/>
                <w:szCs w:val="16"/>
                <w:lang w:eastAsia="it-IT"/>
              </w:rPr>
            </w:pPr>
            <w:r>
              <w:rPr>
                <w:rFonts w:eastAsia="Times New Roman" w:cs="Calibri" w:cstheme="minorHAnsi"/>
                <w:sz w:val="16"/>
                <w:szCs w:val="16"/>
                <w:lang w:eastAsia="it-IT"/>
              </w:rPr>
            </w:r>
          </w:p>
        </w:tc>
        <w:tc>
          <w:tcPr>
            <w:tcW w:w="821"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Totale delitti</w:t>
            </w:r>
          </w:p>
        </w:tc>
        <w:tc>
          <w:tcPr>
            <w:tcW w:w="941"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Indice di variazione</w:t>
            </w:r>
          </w:p>
        </w:tc>
        <w:tc>
          <w:tcPr>
            <w:tcW w:w="780"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Tasso di delittuosità</w:t>
            </w:r>
          </w:p>
        </w:tc>
        <w:tc>
          <w:tcPr>
            <w:tcW w:w="171" w:type="dxa"/>
            <w:tcBorders>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819"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Totale delitti</w:t>
            </w:r>
          </w:p>
        </w:tc>
        <w:tc>
          <w:tcPr>
            <w:tcW w:w="943"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Indice di variazione</w:t>
            </w:r>
          </w:p>
        </w:tc>
        <w:tc>
          <w:tcPr>
            <w:tcW w:w="782"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Tasso di delittuosità</w:t>
            </w:r>
          </w:p>
        </w:tc>
        <w:tc>
          <w:tcPr>
            <w:tcW w:w="169" w:type="dxa"/>
            <w:tcBorders>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972"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Totale delitti</w:t>
            </w:r>
          </w:p>
        </w:tc>
        <w:tc>
          <w:tcPr>
            <w:tcW w:w="788"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Indice di variazione</w:t>
            </w:r>
          </w:p>
        </w:tc>
        <w:tc>
          <w:tcPr>
            <w:tcW w:w="945" w:type="dxa"/>
            <w:tcBorders>
              <w:top w:val="single" w:sz="4" w:space="0" w:color="000000"/>
              <w:bottom w:val="single" w:sz="4" w:space="0" w:color="000000"/>
            </w:tcBorders>
            <w:textDirection w:val="btLr"/>
            <w:vAlign w:val="bottom"/>
          </w:tcPr>
          <w:p>
            <w:pPr>
              <w:pStyle w:val="Normal"/>
              <w:ind w:left="113" w:right="113"/>
              <w:rPr>
                <w:rFonts w:eastAsia="Times New Roman" w:cs="Calibri" w:cstheme="minorHAnsi"/>
                <w:b/>
                <w:bCs/>
                <w:sz w:val="16"/>
                <w:szCs w:val="16"/>
                <w:lang w:eastAsia="it-IT"/>
              </w:rPr>
            </w:pPr>
            <w:r>
              <w:rPr>
                <w:rFonts w:eastAsia="Times New Roman" w:cs="Calibri" w:cstheme="minorHAnsi"/>
                <w:sz w:val="16"/>
                <w:szCs w:val="16"/>
                <w:lang w:eastAsia="it-IT"/>
              </w:rPr>
              <w:t>Tasso di delittuosità</w:t>
            </w:r>
          </w:p>
        </w:tc>
      </w:tr>
      <w:tr>
        <w:trPr>
          <w:trHeight w:val="225" w:hRule="atLeast"/>
        </w:trPr>
        <w:tc>
          <w:tcPr>
            <w:tcW w:w="1814" w:type="dxa"/>
            <w:tcBorders>
              <w:top w:val="single" w:sz="4" w:space="0" w:color="000000"/>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Italia</w:t>
            </w:r>
          </w:p>
        </w:tc>
        <w:tc>
          <w:tcPr>
            <w:tcW w:w="821"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281.162</w:t>
            </w:r>
          </w:p>
        </w:tc>
        <w:tc>
          <w:tcPr>
            <w:tcW w:w="941"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0,6</w:t>
            </w:r>
          </w:p>
        </w:tc>
        <w:tc>
          <w:tcPr>
            <w:tcW w:w="780"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29</w:t>
            </w:r>
          </w:p>
        </w:tc>
        <w:tc>
          <w:tcPr>
            <w:tcW w:w="171" w:type="dxa"/>
            <w:tcBorders>
              <w:top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1.133.521</w:t>
            </w:r>
          </w:p>
        </w:tc>
        <w:tc>
          <w:tcPr>
            <w:tcW w:w="943"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-2,6</w:t>
            </w:r>
          </w:p>
        </w:tc>
        <w:tc>
          <w:tcPr>
            <w:tcW w:w="782"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119</w:t>
            </w:r>
          </w:p>
        </w:tc>
        <w:tc>
          <w:tcPr>
            <w:tcW w:w="169" w:type="dxa"/>
            <w:tcBorders>
              <w:top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2.807.128</w:t>
            </w:r>
          </w:p>
        </w:tc>
        <w:tc>
          <w:tcPr>
            <w:tcW w:w="788"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7,3</w:t>
            </w:r>
          </w:p>
        </w:tc>
        <w:tc>
          <w:tcPr>
            <w:tcW w:w="945" w:type="dxa"/>
            <w:tcBorders>
              <w:top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294</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Nord-est</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32.517</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3,0</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18</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183.851</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-2,0</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100</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522.085</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8,5</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283</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Emilia-Romagna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15.720</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3,3</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22</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82.716</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117</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207.177</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7,0</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294</w:t>
            </w:r>
          </w:p>
        </w:tc>
      </w:tr>
      <w:tr>
        <w:trPr>
          <w:trHeight w:val="225" w:hRule="exact"/>
        </w:trPr>
        <w:tc>
          <w:tcPr>
            <w:tcW w:w="1814" w:type="dxa"/>
            <w:tcBorders/>
            <w:vAlign w:val="center"/>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2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4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0"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43"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2"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788"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45"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Piacenza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740</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4,4</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16</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4.181</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-3,2</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92</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10.525</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10,2</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230</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Parma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1.545</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5,7</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22</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7.750</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-0,2</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110</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21.260</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7,8</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301</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Reggio nell'Emilia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1.533</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2,4</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18</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6.728</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-2,2</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80</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19.294</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8,9</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230</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Modena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1.912</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1,2</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17</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9.836</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-2,5</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88</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29.155</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8,0</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262</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Bologna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4.671</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4,1</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29</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23.698</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148</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60.534</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5,7</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379</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Ferrara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1.168</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3,8</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21</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5.567</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-2,1</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100</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16.107</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8,5</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288</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Ravenna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1.361</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3,3</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22</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9.569</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-4,8</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155</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17.012</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7,9</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275</w:t>
            </w:r>
          </w:p>
        </w:tc>
      </w:tr>
      <w:tr>
        <w:trPr>
          <w:trHeight w:val="225" w:hRule="atLeast"/>
        </w:trPr>
        <w:tc>
          <w:tcPr>
            <w:tcW w:w="1814"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Forlì-Cesena</w:t>
            </w:r>
          </w:p>
        </w:tc>
        <w:tc>
          <w:tcPr>
            <w:tcW w:w="82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1.189</w:t>
            </w:r>
          </w:p>
        </w:tc>
        <w:tc>
          <w:tcPr>
            <w:tcW w:w="941"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1,8</w:t>
            </w:r>
          </w:p>
        </w:tc>
        <w:tc>
          <w:tcPr>
            <w:tcW w:w="780"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19</w:t>
            </w:r>
          </w:p>
        </w:tc>
        <w:tc>
          <w:tcPr>
            <w:tcW w:w="171"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6.111</w:t>
            </w:r>
          </w:p>
        </w:tc>
        <w:tc>
          <w:tcPr>
            <w:tcW w:w="9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-3,3</w:t>
            </w:r>
          </w:p>
        </w:tc>
        <w:tc>
          <w:tcPr>
            <w:tcW w:w="78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97</w:t>
            </w:r>
          </w:p>
        </w:tc>
        <w:tc>
          <w:tcPr>
            <w:tcW w:w="169"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15.942</w:t>
            </w:r>
          </w:p>
        </w:tc>
        <w:tc>
          <w:tcPr>
            <w:tcW w:w="788"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3,7</w:t>
            </w:r>
          </w:p>
        </w:tc>
        <w:tc>
          <w:tcPr>
            <w:tcW w:w="945"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254</w:t>
            </w:r>
          </w:p>
        </w:tc>
      </w:tr>
      <w:tr>
        <w:trPr>
          <w:trHeight w:val="225" w:hRule="atLeast"/>
        </w:trPr>
        <w:tc>
          <w:tcPr>
            <w:tcW w:w="1814" w:type="dxa"/>
            <w:tcBorders>
              <w:bottom w:val="single" w:sz="4" w:space="0" w:color="000000"/>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t>Rimini</w:t>
            </w:r>
          </w:p>
        </w:tc>
        <w:tc>
          <w:tcPr>
            <w:tcW w:w="821"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1.578</w:t>
            </w:r>
          </w:p>
        </w:tc>
        <w:tc>
          <w:tcPr>
            <w:tcW w:w="941"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2,8</w:t>
            </w:r>
          </w:p>
        </w:tc>
        <w:tc>
          <w:tcPr>
            <w:tcW w:w="780"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30</w:t>
            </w:r>
          </w:p>
        </w:tc>
        <w:tc>
          <w:tcPr>
            <w:tcW w:w="171"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819"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8.991</w:t>
            </w:r>
          </w:p>
        </w:tc>
        <w:tc>
          <w:tcPr>
            <w:tcW w:w="943"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-3,6</w:t>
            </w:r>
          </w:p>
        </w:tc>
        <w:tc>
          <w:tcPr>
            <w:tcW w:w="782"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170</w:t>
            </w:r>
          </w:p>
        </w:tc>
        <w:tc>
          <w:tcPr>
            <w:tcW w:w="169"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972"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17.088</w:t>
            </w:r>
          </w:p>
        </w:tc>
        <w:tc>
          <w:tcPr>
            <w:tcW w:w="788"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6,7</w:t>
            </w:r>
          </w:p>
        </w:tc>
        <w:tc>
          <w:tcPr>
            <w:tcW w:w="945" w:type="dxa"/>
            <w:tcBorders>
              <w:bottom w:val="single" w:sz="4" w:space="0" w:color="000000"/>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323</w:t>
            </w:r>
          </w:p>
        </w:tc>
      </w:tr>
    </w:tbl>
    <w:p>
      <w:pPr>
        <w:pStyle w:val="Normal"/>
        <w:jc w:val="both"/>
        <w:rPr>
          <w:rFonts w:ascii="Arial" w:hAnsi="Arial" w:eastAsia="Times New Roman" w:cs="Arial"/>
          <w:sz w:val="16"/>
          <w:szCs w:val="16"/>
          <w:lang w:eastAsia="it-IT"/>
        </w:rPr>
      </w:pPr>
      <w:r>
        <w:rPr>
          <w:rFonts w:eastAsia="Times New Roman" w:cs="Arial" w:ascii="Arial" w:hAnsi="Arial"/>
          <w:sz w:val="16"/>
          <w:szCs w:val="16"/>
          <w:lang w:eastAsia="it-IT"/>
        </w:rPr>
        <w:t>Fonte: Nostra elaborazione su dati SDI del Ministero dell’Interno.</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hanging="252" w:left="252"/>
        <w:jc w:val="both"/>
        <w:rPr>
          <w:rFonts w:ascii="Arial" w:hAnsi="Arial" w:cs="Arial"/>
          <w:b/>
          <w:bCs/>
          <w:sz w:val="22"/>
          <w:szCs w:val="22"/>
        </w:rPr>
      </w:pPr>
      <w:r>
        <w:rPr>
          <w:rFonts w:cs="Arial" w:ascii="Arial" w:hAnsi="Arial"/>
          <w:b/>
          <w:bCs/>
          <w:sz w:val="22"/>
          <w:szCs w:val="22"/>
        </w:rPr>
        <w:t>3. I reati contro la Pubblica amministrazione</w:t>
      </w:r>
    </w:p>
    <w:p>
      <w:pPr>
        <w:pStyle w:val="Normal"/>
        <w:ind w:firstLine="284"/>
        <w:jc w:val="both"/>
        <w:rPr>
          <w:rFonts w:ascii="Arial" w:hAnsi="Arial" w:cs="Arial"/>
          <w:sz w:val="22"/>
          <w:szCs w:val="22"/>
        </w:rPr>
      </w:pPr>
      <w:r>
        <w:rPr>
          <w:rFonts w:cs="Arial" w:ascii="Arial" w:hAnsi="Arial"/>
          <w:sz w:val="22"/>
          <w:szCs w:val="22"/>
        </w:rPr>
        <w:t>Considerato lo stretto legame evidenziato da diversi osservatori tra criminalità organizzatae fenomeni corruttivi, ai fini del presente documento si è ritenuto opportuno estendere l’analisi anche ai delitti contro la Pubblica amministrazione, tra i quali la corruzione rappresenta solo una delle fattispecie previste, seppure la più grave sotto il profilo etico e istituzionale.</w:t>
      </w:r>
    </w:p>
    <w:p>
      <w:pPr>
        <w:pStyle w:val="Normal"/>
        <w:ind w:firstLine="284"/>
        <w:jc w:val="both"/>
        <w:rPr>
          <w:rFonts w:ascii="Arial" w:hAnsi="Arial" w:cs="Arial"/>
          <w:sz w:val="22"/>
          <w:szCs w:val="22"/>
        </w:rPr>
      </w:pPr>
      <w:r>
        <w:rPr>
          <w:rFonts w:cs="Arial" w:ascii="Arial" w:hAnsi="Arial"/>
          <w:sz w:val="22"/>
          <w:szCs w:val="22"/>
        </w:rPr>
        <w:t xml:space="preserve">Come noto, i delitti contro la Pubblica amministrazione comprendono condotte particolarmente lesive dei principi di imparzialità, trasparenza e buon andamento dell’azione amministrativa. Essi sono disciplinati dal Titolo II del Libro II del Codice penale (artt. 314–360 c.p.) e si articolano in due grandi categoriedistinte sulla base del soggetto o dei soggetti che li commettono: da un lato, vi sono i delitti commessi dai pubblici ufficiali o incaricati di un pubblico servizio o esercenti di servizio di pubblica utilità nell’ambito delle loro funzioni per un abuso o uso non conforme alla legge del potere riconosciutogli dalla legge medesima; dall’altro lato, invece, vi sono i delitti dei privati (cosiddetti reati ordinari), i cui comportamenti tendono ad ostacolare il regolare funzionamento della Pubblica amministrazione o ne offendono il prestigio (per esempio attraverso la violenza o la resistenza all’autorità pubblica, l’oltraggio al pubblico ufficiale, ecc.). </w:t>
      </w:r>
    </w:p>
    <w:p>
      <w:pPr>
        <w:pStyle w:val="Normal"/>
        <w:ind w:firstLine="284"/>
        <w:jc w:val="both"/>
        <w:rPr>
          <w:rFonts w:ascii="Arial" w:hAnsi="Arial" w:cs="Arial"/>
          <w:sz w:val="22"/>
          <w:szCs w:val="22"/>
        </w:rPr>
      </w:pPr>
      <w:r>
        <w:rPr>
          <w:rFonts w:cs="Arial" w:ascii="Arial" w:hAnsi="Arial"/>
          <w:sz w:val="22"/>
          <w:szCs w:val="22"/>
        </w:rPr>
        <w:t>Ai fini dell’analisi sono stati selezionati alcuni di questi delitti, privilegiando quelli per i quali l’Istituto nazionale di statistica rende disponibili dati affidabili. Si tratta, in particolare, dei reati commessi da pubblici ufficiali e portati a conoscenza delle forze di polizia. È evidente che tali informazioni restituiscono un quadro solo parziale del fenomeno indagato: da un lato perché riguardano soltanto una parte delle fattispecie previste dal Codice penale, dall’altro perché una quota rilevante di questi delitti, più di altre forme di criminalità, sfugge al controllo delle istituzioni penali. Ciò avviene sia per la loro struttura intrinsecamente occulta — basti pensare alla corruzione, che nasce da un accordo tra soggetti che hanno un forte interesse a non essere scoperti — sia per la limitata emersione dovuta alla mancata denuncia o alla mancata scoperta da parte degli organi investigativi.</w:t>
      </w:r>
    </w:p>
    <w:p>
      <w:pPr>
        <w:pStyle w:val="Normal"/>
        <w:ind w:firstLine="284"/>
        <w:jc w:val="both"/>
        <w:rPr>
          <w:rFonts w:ascii="Arial" w:hAnsi="Arial" w:cs="Arial"/>
          <w:sz w:val="22"/>
          <w:szCs w:val="22"/>
        </w:rPr>
      </w:pPr>
      <w:r>
        <w:rPr>
          <w:rFonts w:cs="Arial" w:ascii="Arial" w:hAnsi="Arial"/>
          <w:sz w:val="22"/>
          <w:szCs w:val="22"/>
        </w:rPr>
        <w:t>L’ampiezza dei fenomeni rilevati dipende inoltre dal livello di risorse — materiali, professionali e normative — a disposizione della magistratura e delle forze di polizia, dalla loro capacità investigativa, dalle priorità dell’azione giudiziaria e dal grado di attenzione pubblica in un determinato momento storico. Per tutte queste ragioni, i dati che verranno analizzati non rappresentano l’effettiva diffusione dei delitti contro la Pubblica amministrazione, ma esclusivamente la dimensione delle condotte perseguite e scoperte sul piano penale-investigativo, con riferimento ai soli reati commessi da pubblici ufficiali.</w:t>
      </w:r>
    </w:p>
    <w:p>
      <w:pPr>
        <w:pStyle w:val="Normal"/>
        <w:ind w:firstLine="284"/>
        <w:jc w:val="both"/>
        <w:rPr>
          <w:rFonts w:ascii="Arial" w:hAnsi="Arial" w:cs="Arial"/>
          <w:sz w:val="22"/>
          <w:szCs w:val="22"/>
        </w:rPr>
      </w:pPr>
      <w:r>
        <w:rPr>
          <w:rFonts w:cs="Arial" w:ascii="Arial" w:hAnsi="Arial"/>
          <w:sz w:val="22"/>
          <w:szCs w:val="22"/>
        </w:rPr>
        <w:t>I reati oggetto di analisi sono i seguenti: peculato (Art. 314 c.p.); peculato mediante profitto dell’errore altrui (Art. 316 c.p.); malversazione di erogazioni pubbliche (Art. 316-bis c.p.); indebita percezione di erogazioni pubbliche (Art. 316-ter c.p.); concussione (Art. 317 c.p.); corruzione per l’esercizio della funzione (Art. 318 c.p.); corruzione per un atto contrario ai doveri d’ufficio (Art. 319 c.p.); corruzione in atti giudiziari (Art. 319-ter c.p.); induzione indebita a dare o promettere utilità (Art. 319-quater c.p.); corruzione di persona incaricata di un pubblico servizio (Art. 320 c.p.); pene per il corruttore (Art. 321 c.p.); istigazione alla corruzione (Art. 322 c.p.); peculato, concussione, induzione indebita a dare o promettere utilità, corruzione e istigazione alla corruzione di membri delle Corti internazionali o degli organi delle Comunità europee o di assemblee parlamentari internazionali o di organizzazioni internazionali e di funzionari delle Comunità europee e di Stati esteri (Art. 322-bis c.p.); abuso d'ufficio (Art. 323 c.p.); utilizzazione d’invenzioni o scoperte conosciute per ragione di ufficio (Art. 325 c.p.); rivelazione ed utilizzazione di segreti di ufficio (Art. 326 c.p.); rifiuto di atti d’ufficio. Omissione (Art. 328 c.p.); rifiuto o ritardo di obbedienza commesso da un militare o da un agente della forza pubblica (Art. 329 c.p.); interruzione di un servizio pubblico o di pubblica necessità (Art. 331); sottrazione o danneggiamento di cose sottoposte a sequestro disposto nel corso di un procedimento penale o dall'autorità amministrativa. (Art. 334 c.p.); violazione colposa di doveri inerenti alla custodia di cose sottoposte a sequestro disposto nel corso di un procedimento penale o dall'autorità amministrativa (Art. 335 c.p.).</w:t>
      </w:r>
    </w:p>
    <w:p>
      <w:pPr>
        <w:pStyle w:val="Normal"/>
        <w:ind w:firstLine="284"/>
        <w:jc w:val="both"/>
        <w:rPr>
          <w:rFonts w:ascii="Arial" w:hAnsi="Arial" w:cs="Arial"/>
          <w:sz w:val="22"/>
          <w:szCs w:val="22"/>
        </w:rPr>
      </w:pPr>
      <w:r>
        <w:rPr>
          <w:rFonts w:cs="Arial" w:ascii="Arial" w:hAnsi="Arial"/>
          <w:sz w:val="22"/>
          <w:szCs w:val="22"/>
        </w:rPr>
        <w:t xml:space="preserve">Analogamente a quanto svolto per i reati riconducibili alla criminalità organizzata, anche per queste fattispecie saranno analizzati l’andamento e l’incidenza registrati in Emilia-Romagna e nelle sue province nel periodo 2008-2023.  </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r>
    </w:p>
    <w:p>
      <w:pPr>
        <w:pStyle w:val="Normal"/>
        <w:jc w:val="both"/>
        <w:rPr>
          <w:rFonts w:ascii="Arial" w:hAnsi="Arial" w:cs="Arial"/>
          <w:b/>
          <w:bCs/>
          <w:sz w:val="22"/>
          <w:szCs w:val="22"/>
        </w:rPr>
      </w:pPr>
      <w:r>
        <w:rPr>
          <w:rFonts w:cs="Arial" w:ascii="Arial" w:hAnsi="Arial"/>
          <w:b/>
          <w:bCs/>
          <w:sz w:val="22"/>
          <w:szCs w:val="22"/>
        </w:rPr>
        <w:t>3.1. I numeri dei delitti contro la Pubblica amministrazione</w:t>
      </w:r>
    </w:p>
    <w:p>
      <w:pPr>
        <w:pStyle w:val="Normal"/>
        <w:ind w:firstLine="284"/>
        <w:jc w:val="both"/>
        <w:rPr>
          <w:rFonts w:ascii="Arial" w:hAnsi="Arial" w:cs="Arial"/>
          <w:sz w:val="22"/>
          <w:szCs w:val="22"/>
        </w:rPr>
      </w:pPr>
      <w:r>
        <w:rPr>
          <w:rFonts w:cs="Arial" w:ascii="Arial" w:hAnsi="Arial"/>
          <w:sz w:val="22"/>
          <w:szCs w:val="22"/>
        </w:rPr>
        <w:t>Sebbeneuna parte di questi reati sfugga al controllo del sistema penale, la loro incidenza sul volume complessivo dei delitti denunciati ogni anno risulta estremamente limitata, tanto in Emilia-Romagna quanto nel resto del Paese. Sono infatti attribuibili a queste fattispecie meno dello 0,2% delle denunce annue: un’incidenza che, se posta a confronto con il peso preponderante delle denunce per furto (circa il 60% del complessivo), rivela immediatamente la limitata rilevanza numerica dei reati a danno della P.A.</w:t>
      </w:r>
    </w:p>
    <w:p>
      <w:pPr>
        <w:pStyle w:val="Normal"/>
        <w:ind w:firstLine="284"/>
        <w:jc w:val="both"/>
        <w:rPr>
          <w:rFonts w:ascii="Arial" w:hAnsi="Arial" w:cs="Arial"/>
          <w:sz w:val="22"/>
          <w:szCs w:val="22"/>
        </w:rPr>
      </w:pPr>
      <w:r>
        <w:rPr>
          <w:rFonts w:cs="Arial" w:ascii="Arial" w:hAnsi="Arial"/>
          <w:sz w:val="22"/>
          <w:szCs w:val="22"/>
        </w:rPr>
        <w:t>Proprio la bassa numerosità di tali eventi ha reso necessario raggruppare le fattispecie osservate in quattro macrocategorie, costruite come indici sintetici, al fine di restituire un quadro più stabile e comparabile nel tempo.</w:t>
      </w:r>
    </w:p>
    <w:p>
      <w:pPr>
        <w:pStyle w:val="Normal"/>
        <w:ind w:firstLine="284"/>
        <w:jc w:val="both"/>
        <w:rPr>
          <w:rFonts w:ascii="Arial" w:hAnsi="Arial" w:cs="Arial"/>
          <w:sz w:val="22"/>
          <w:szCs w:val="22"/>
        </w:rPr>
      </w:pPr>
      <w:r>
        <w:rPr>
          <w:rFonts w:cs="Arial" w:ascii="Arial" w:hAnsi="Arial"/>
          <w:sz w:val="22"/>
          <w:szCs w:val="22"/>
        </w:rPr>
        <w:t>L’adozione di queste categorie, oltre a rafforzare la robustezza dell’analisi statistica, consente anche di cogliere con maggiore precisione le dinamiche interne ai diversi ambiti della criminalità contro la Pubblica amministrazione. Essa permette, inoltre, di evidenziare eventuali trasformazioni strutturali, spesso difficili da rilevare osservando singole fattispecie, e di distinguere tra ambiti in cui prevalgono comportamenti opportunistici individuali (come nell’abuso di funzione) e quelli in cui, invece, si manifestano forme più complesse di cooperazione deviata, come nei reati corruttivi. In questo senso, tali indici offrono una chiave di lettura utile anche per comprendere le possibili intersezioni con la criminalità organizzata, che trova proprio nei reati contro la Pubblica amministrazione uno dei principali canali di accesso alle risorse e ai processi decisionali pubblici.</w:t>
      </w:r>
    </w:p>
    <w:p>
      <w:pPr>
        <w:pStyle w:val="Normal"/>
        <w:ind w:firstLine="284"/>
        <w:jc w:val="both"/>
        <w:rPr>
          <w:rFonts w:ascii="Arial" w:hAnsi="Arial" w:cs="Arial"/>
          <w:sz w:val="22"/>
          <w:szCs w:val="22"/>
        </w:rPr>
      </w:pPr>
      <w:r>
        <w:rPr>
          <w:rFonts w:cs="Arial" w:ascii="Arial" w:hAnsi="Arial"/>
          <w:sz w:val="22"/>
          <w:szCs w:val="22"/>
        </w:rPr>
        <w:t>L’</w:t>
      </w:r>
      <w:r>
        <w:rPr>
          <w:rFonts w:cs="Arial" w:ascii="Arial" w:hAnsi="Arial"/>
          <w:i/>
          <w:iCs/>
          <w:sz w:val="22"/>
          <w:szCs w:val="22"/>
        </w:rPr>
        <w:t>abuso di funzione</w:t>
      </w:r>
      <w:r>
        <w:rPr>
          <w:rFonts w:cs="Arial" w:ascii="Arial" w:hAnsi="Arial"/>
          <w:sz w:val="22"/>
          <w:szCs w:val="22"/>
        </w:rPr>
        <w:t>, il primo di questi indici, è stato ottenuto aggregando i reati di abuso d’ufficio, rifiuto e omissione di atti d’ufficio, rifiuto o ritardo di obbedienza commesso da un militare o da un agente della forza pubblica, rivelazione ed utilizzazione di segreti di ufficio, utilizzazione d’invenzioni o scoperte conosciute per ragione di ufficio</w:t>
      </w:r>
      <w:r>
        <w:rPr>
          <w:rStyle w:val="FootnoteReference"/>
          <w:rFonts w:cs="Arial" w:ascii="Arial" w:hAnsi="Arial"/>
          <w:sz w:val="22"/>
          <w:szCs w:val="22"/>
        </w:rPr>
        <w:footnoteReference w:id="19"/>
      </w:r>
      <w:r>
        <w:rPr>
          <w:rFonts w:cs="Arial" w:ascii="Arial" w:hAnsi="Arial"/>
          <w:sz w:val="22"/>
          <w:szCs w:val="22"/>
        </w:rPr>
        <w:t>.L’</w:t>
      </w:r>
      <w:r>
        <w:rPr>
          <w:rFonts w:cs="Arial" w:ascii="Arial" w:hAnsi="Arial"/>
          <w:i/>
          <w:iCs/>
          <w:sz w:val="22"/>
          <w:szCs w:val="22"/>
        </w:rPr>
        <w:t xml:space="preserve">appropriazione indebita </w:t>
      </w:r>
      <w:r>
        <w:rPr>
          <w:rFonts w:cs="Arial" w:ascii="Arial" w:hAnsi="Arial"/>
          <w:sz w:val="22"/>
          <w:szCs w:val="22"/>
        </w:rPr>
        <w:t>è un indice costituito dai reati di peculato, peculato mediante profitto dell’errore altrui, indebita percezione di erogazioni pubbliche, malversazione di erogazioni pubbliche</w:t>
      </w:r>
      <w:r>
        <w:rPr>
          <w:rStyle w:val="FootnoteReference"/>
          <w:rFonts w:cs="Arial" w:ascii="Arial" w:hAnsi="Arial"/>
          <w:sz w:val="22"/>
          <w:szCs w:val="22"/>
        </w:rPr>
        <w:footnoteReference w:id="20"/>
      </w:r>
      <w:r>
        <w:rPr>
          <w:rFonts w:cs="Arial" w:ascii="Arial" w:hAnsi="Arial"/>
          <w:sz w:val="22"/>
          <w:szCs w:val="22"/>
        </w:rPr>
        <w:t xml:space="preserve">.Il terzo indice è quello relativo alla </w:t>
      </w:r>
      <w:r>
        <w:rPr>
          <w:rFonts w:cs="Arial" w:ascii="Arial" w:hAnsi="Arial"/>
          <w:i/>
          <w:iCs/>
          <w:sz w:val="22"/>
          <w:szCs w:val="22"/>
        </w:rPr>
        <w:t>corruzione</w:t>
      </w:r>
      <w:r>
        <w:rPr>
          <w:rFonts w:cs="Arial" w:ascii="Arial" w:hAnsi="Arial"/>
          <w:sz w:val="22"/>
          <w:szCs w:val="22"/>
        </w:rPr>
        <w:t>, che ricomprende sia le forme attive sia quelle passive. In esso rientranoi reati di concussione, corruzione di persona incaricata di un pubblico servizio, corruzione in atti giudiziari, corruzione per l’esercizio della funzione, corruzione per un atto contrario ai doveri d’ufficio, induzione indebita a dare o promettere utilità, istigazione alla corruzione, concussione, corruzione di membri e funzionari di organi di Comunità europee o internazionali, pene per il corruttore</w:t>
      </w:r>
      <w:r>
        <w:rPr>
          <w:rStyle w:val="FootnoteReference"/>
          <w:rFonts w:cs="Arial" w:ascii="Arial" w:hAnsi="Arial"/>
          <w:sz w:val="22"/>
          <w:szCs w:val="22"/>
        </w:rPr>
        <w:footnoteReference w:id="21"/>
      </w:r>
      <w:r>
        <w:rPr>
          <w:rFonts w:cs="Arial" w:ascii="Arial" w:hAnsi="Arial"/>
          <w:sz w:val="22"/>
          <w:szCs w:val="22"/>
        </w:rPr>
        <w:t xml:space="preserve">.La </w:t>
      </w:r>
      <w:r>
        <w:rPr>
          <w:rFonts w:cs="Arial" w:ascii="Arial" w:hAnsi="Arial"/>
          <w:i/>
          <w:iCs/>
          <w:sz w:val="22"/>
          <w:szCs w:val="22"/>
        </w:rPr>
        <w:t>turbativa del servizio pubblico e della custodia</w:t>
      </w:r>
      <w:r>
        <w:rPr>
          <w:rFonts w:cs="Arial" w:ascii="Arial" w:hAnsi="Arial"/>
          <w:sz w:val="22"/>
          <w:szCs w:val="22"/>
        </w:rPr>
        <w:t>, infine, è un indice che riunisce le fattispecie di interruzione di pubblico servizio o di pubblica necessità e quelle di sottrazione o danneggiamento di beni sottoposti a sequestro, comprese le violazioni colpose dei doveri connessi alla loro custodia</w:t>
      </w:r>
      <w:r>
        <w:rPr>
          <w:rStyle w:val="FootnoteReference"/>
          <w:rFonts w:cs="Arial" w:ascii="Arial" w:hAnsi="Arial"/>
          <w:sz w:val="22"/>
          <w:szCs w:val="22"/>
        </w:rPr>
        <w:footnoteReference w:id="22"/>
      </w:r>
      <w:r>
        <w:rPr>
          <w:rFonts w:cs="Arial" w:ascii="Arial" w:hAnsi="Arial"/>
          <w:sz w:val="22"/>
          <w:szCs w:val="22"/>
        </w:rPr>
        <w:t>.</w:t>
      </w:r>
    </w:p>
    <w:p>
      <w:pPr>
        <w:pStyle w:val="Normal"/>
        <w:ind w:firstLine="284"/>
        <w:jc w:val="both"/>
        <w:rPr>
          <w:rFonts w:ascii="Arial" w:hAnsi="Arial" w:cs="Arial"/>
          <w:sz w:val="22"/>
          <w:szCs w:val="22"/>
        </w:rPr>
      </w:pPr>
      <w:r>
        <w:rPr>
          <w:rFonts w:cs="Arial" w:ascii="Arial" w:hAnsi="Arial"/>
          <w:sz w:val="22"/>
          <w:szCs w:val="22"/>
        </w:rPr>
        <w:t>Nel confronto con gli altri territori osservati, l’Emilia-Romagna si colloca su un livello intermedio quanto alla diffusione di questi reati. Nei sedici anni considerati, le oltre seimila denunce rilevate delineano un tasso di delittuosità pari a 8,7 ogni 100.000 abitanti, un valore che si situa infatti tra quello nazionale (14,5) e quello del Nord-Est (7,0).</w:t>
      </w:r>
    </w:p>
    <w:p>
      <w:pPr>
        <w:pStyle w:val="Normal"/>
        <w:ind w:firstLine="284"/>
        <w:jc w:val="both"/>
        <w:rPr>
          <w:rFonts w:ascii="Arial" w:hAnsi="Arial" w:cs="Arial"/>
          <w:sz w:val="22"/>
          <w:szCs w:val="22"/>
        </w:rPr>
      </w:pPr>
      <w:r>
        <w:rPr>
          <w:rFonts w:cs="Arial" w:ascii="Arial" w:hAnsi="Arial"/>
          <w:sz w:val="22"/>
          <w:szCs w:val="22"/>
        </w:rPr>
        <w:t>Tale profilo riflette una tendenza generale di contenimento dei reati, pur con alcune specificità locali.In particolare, l’incidenza più elevata questi delitti in regione rispetto al Nord-Est è dovuta principalmente dalla maggiore frequenza delle condotte che riguardano la turbativa del servizio pubblico e della custodia di beni sottoposti a sequestro, mentre per le altre fattispecie, come l’abuso di funzione, l’appropriazione indebita e la corruzione, i tassi di delittuosità regionali risultano molto contenuti e sostanzialmente in linea con la media delle regioni nord-orientali.</w:t>
      </w:r>
    </w:p>
    <w:p>
      <w:pPr>
        <w:pStyle w:val="Normal"/>
        <w:ind w:firstLine="284"/>
        <w:jc w:val="both"/>
        <w:rPr>
          <w:rFonts w:ascii="Arial" w:hAnsi="Arial" w:cs="Arial"/>
          <w:sz w:val="22"/>
          <w:szCs w:val="22"/>
        </w:rPr>
      </w:pPr>
      <w:r>
        <w:rPr>
          <w:rFonts w:cs="Arial" w:ascii="Arial" w:hAnsi="Arial"/>
          <w:sz w:val="22"/>
          <w:szCs w:val="22"/>
        </w:rPr>
        <w:t>Osservando l’evoluzione temporale di questi fenomeni, emerge una tendenza generale alla diminuzione in tutti i contesti territoriali considerati. In Emilia-Romagna la flessione risulta più pronunciata rispetto sia alla media nazionale sia a quella del Nord-Est, con un calo complessivo di cinque punti percentuali. Particolarmente rilevante è la diminuzione dei reati corruttivi (-9,5%), a cui si affianca una flessione meno marcata ma comunque significativa dei reati di turbativa del servizio pubblico e della custodia di beni sequestrati (-6,0%). Al contrario, l’abuso d’ufficio e l’appropriazione indebita mostrano riduzioni più contenute (rispettivamente -0,8% e -2,8%), in linea con quanto osservato nel resto del Nord-Est.</w:t>
      </w:r>
    </w:p>
    <w:p>
      <w:pPr>
        <w:pStyle w:val="Normal"/>
        <w:ind w:firstLine="284"/>
        <w:jc w:val="both"/>
        <w:rPr>
          <w:rFonts w:ascii="Arial" w:hAnsi="Arial" w:cs="Arial"/>
          <w:sz w:val="22"/>
          <w:szCs w:val="22"/>
        </w:rPr>
      </w:pPr>
      <w:r>
        <w:rPr>
          <w:rFonts w:cs="Arial" w:ascii="Arial" w:hAnsi="Arial"/>
          <w:sz w:val="22"/>
          <w:szCs w:val="22"/>
        </w:rPr>
        <w:t>L’analisi dei dati provinciali rivela un quadro articolato, in cui la tendenza e l’incidenza dei delitti evidenziano una distribuzione disomogenea e differenze rilevanti tra i vari territori. Reggio Emilia, Bologna e Ravenna detengono i tassi di delittuosità più elevati della regione(pari a 10,0per 100.000 abitanti), Parma presenta valori più prossimi al dato medio dell’Emilia-Romagna, mentre Rimini, Modena, Ferrara, Forlì-Cesena e soprattutto la provincia di Piacenzasi attestano sotto la soglia regionale.</w:t>
      </w:r>
    </w:p>
    <w:p>
      <w:pPr>
        <w:pStyle w:val="Normal"/>
        <w:ind w:firstLine="284"/>
        <w:jc w:val="both"/>
        <w:rPr>
          <w:rFonts w:ascii="Arial" w:hAnsi="Arial" w:cs="Arial"/>
          <w:sz w:val="22"/>
          <w:szCs w:val="22"/>
        </w:rPr>
      </w:pPr>
      <w:r>
        <w:rPr>
          <w:rFonts w:cs="Arial" w:ascii="Arial" w:hAnsi="Arial"/>
          <w:sz w:val="22"/>
          <w:szCs w:val="22"/>
        </w:rPr>
        <w:t>Considerando i singoli ambiti delittuosi, alcuni elementi meritano particolare attenzione. La turbativa del servizio pubblico e della custodia di beni rappresenta la sfera dei reati contro la PA più criticaprincipalmente nella provincia di Reggio Emilia (8,3 denunce su 100 mila abitanti contro 5,7 della regione). L’abuso di funzione raggiunge invece valori relativamente alti a Parma, Forlì-Cesena, Rimini e Bologna.  L’appropriazione indebita, pur caratterizzata da tassi complessivamente contenuti, registra un’incidenza anomala nella provincia di Ravenna, dove il valore (2,0 denunce ogni 100 mila abitanti) supera di molto la media regionale (0,8). I reati corruttivi, benché caratterizzati da tassi molto bassi in tutte le province, presentano un’incidenza più elevata della media nelle provincie di Ferrara e di Rimini.</w:t>
      </w:r>
    </w:p>
    <w:p>
      <w:pPr>
        <w:pStyle w:val="Normal"/>
        <w:ind w:firstLine="284"/>
        <w:jc w:val="both"/>
        <w:rPr>
          <w:rFonts w:ascii="Arial" w:hAnsi="Arial" w:cs="Arial"/>
          <w:sz w:val="22"/>
          <w:szCs w:val="22"/>
        </w:rPr>
      </w:pPr>
      <w:r>
        <w:rPr>
          <w:rFonts w:cs="Arial" w:ascii="Arial" w:hAnsi="Arial"/>
          <w:sz w:val="22"/>
          <w:szCs w:val="22"/>
        </w:rPr>
        <w:t xml:space="preserve">Dal punto di vista dell’andamento temporale, in tutte le province si è registrata una diminuzione dei reati contro la Pubblica amministrazione, sebbene con intensità differenti. Piacenza, Ravenna e Rimini evidenziano cali complessivi particolarmente marcati, mentre Ferrara e Forlì-Cesena mostrano riduzioni meno pronunciate; le altre province si collocano sostanzialmente in linea con il dato regionale. Un elemento di particolare attenzione riguarda tuttavia le eccezioni a questa tendenza generale di Ferrara, dove si osserva un incremento dei reati classificati come abuso di funzione (+10,5 punti percentuali), in netta controtendenza rispetto alla flessione regionale (-0,8%); e delle province di Reggio Emilia e Modena per quanto riguarda i reati di appropriazione indebita dove si registrano aumenti rispettivamente di 4,7 punti percentuali e 2,7, a fronte di una riduzione regionale di 2,8. </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20"/>
          <w:szCs w:val="20"/>
        </w:rPr>
      </w:pPr>
      <w:r>
        <w:rPr>
          <w:rFonts w:cs="Times New Roman" w:ascii="Times New Roman" w:hAnsi="Times New Roman"/>
          <w:b/>
          <w:bCs/>
          <w:smallCaps/>
          <w:sz w:val="20"/>
          <w:szCs w:val="20"/>
        </w:rPr>
        <w:t>Tabella 5:</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Reati contro la Pubblica amministrazione raggruppati in macrocategorie in Italia, nel Nord-Est, in Emilia-Romagna e le sue province. Periodo 2008-2023 (numero complessivo dei reati denunciati; indice di variazione medio annuale; tasso medio annuo di delittuosità per 100.000 abitanti).</w:t>
      </w:r>
    </w:p>
    <w:tbl>
      <w:tblPr>
        <w:tblW w:w="4900" w:type="pct"/>
        <w:jc w:val="left"/>
        <w:tblInd w:w="140" w:type="dxa"/>
        <w:tblLayout w:type="fixed"/>
        <w:tblCellMar>
          <w:top w:w="0" w:type="dxa"/>
          <w:left w:w="70" w:type="dxa"/>
          <w:bottom w:w="0" w:type="dxa"/>
          <w:right w:w="70" w:type="dxa"/>
        </w:tblCellMar>
        <w:tblLook w:val="04a0"/>
      </w:tblPr>
      <w:tblGrid>
        <w:gridCol w:w="1381"/>
        <w:gridCol w:w="620"/>
        <w:gridCol w:w="463"/>
        <w:gridCol w:w="448"/>
        <w:gridCol w:w="204"/>
        <w:gridCol w:w="619"/>
        <w:gridCol w:w="452"/>
        <w:gridCol w:w="448"/>
        <w:gridCol w:w="206"/>
        <w:gridCol w:w="537"/>
        <w:gridCol w:w="590"/>
        <w:gridCol w:w="448"/>
        <w:gridCol w:w="207"/>
        <w:gridCol w:w="618"/>
        <w:gridCol w:w="450"/>
        <w:gridCol w:w="449"/>
        <w:gridCol w:w="704"/>
        <w:gridCol w:w="449"/>
        <w:gridCol w:w="453"/>
      </w:tblGrid>
      <w:tr>
        <w:trPr>
          <w:trHeight w:val="474" w:hRule="atLeast"/>
        </w:trPr>
        <w:tc>
          <w:tcPr>
            <w:tcW w:w="1381" w:type="dxa"/>
            <w:tcBorders>
              <w:top w:val="single" w:sz="4" w:space="0" w:color="000000"/>
            </w:tcBorders>
            <w:vAlign w:val="bottom"/>
          </w:tcPr>
          <w:p>
            <w:pPr>
              <w:pStyle w:val="Normal"/>
              <w:jc w:val="center"/>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1531" w:type="dxa"/>
            <w:gridSpan w:val="3"/>
            <w:tcBorders>
              <w:top w:val="single" w:sz="4" w:space="0" w:color="000000"/>
              <w:bottom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ascii="Aptos Narrow" w:hAnsi="Aptos Narrow"/>
                <w:color w:val="000000"/>
                <w:sz w:val="16"/>
                <w:szCs w:val="16"/>
              </w:rPr>
              <w:t>Abuso di funzione</w:t>
            </w:r>
          </w:p>
        </w:tc>
        <w:tc>
          <w:tcPr>
            <w:tcW w:w="204" w:type="dxa"/>
            <w:tcBorders>
              <w:top w:val="single" w:sz="4" w:space="0" w:color="000000"/>
            </w:tcBorders>
            <w:vAlign w:val="bottom"/>
          </w:tcPr>
          <w:p>
            <w:pPr>
              <w:pStyle w:val="Normal"/>
              <w:jc w:val="center"/>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1519" w:type="dxa"/>
            <w:gridSpan w:val="3"/>
            <w:tcBorders>
              <w:top w:val="single" w:sz="4" w:space="0" w:color="000000"/>
              <w:bottom w:val="single" w:sz="4" w:space="0" w:color="000000"/>
            </w:tcBorders>
            <w:vAlign w:val="bottom"/>
          </w:tcPr>
          <w:p>
            <w:pPr>
              <w:pStyle w:val="Normal"/>
              <w:jc w:val="center"/>
              <w:rPr>
                <w:rFonts w:ascii="Aptos Narrow" w:hAnsi="Aptos Narrow"/>
                <w:color w:val="000000"/>
                <w:sz w:val="16"/>
                <w:szCs w:val="16"/>
              </w:rPr>
            </w:pPr>
            <w:r>
              <w:rPr>
                <w:rFonts w:ascii="Aptos Narrow" w:hAnsi="Aptos Narrow"/>
                <w:color w:val="000000"/>
                <w:sz w:val="16"/>
                <w:szCs w:val="16"/>
              </w:rPr>
              <w:t>Appropriazione</w:t>
            </w:r>
          </w:p>
          <w:p>
            <w:pPr>
              <w:pStyle w:val="Normal"/>
              <w:jc w:val="center"/>
              <w:rPr>
                <w:rFonts w:ascii="Aptos" w:hAnsi="Aptos" w:eastAsia="Times New Roman" w:cs="Times New Roman"/>
                <w:color w:val="000000"/>
                <w:sz w:val="14"/>
                <w:szCs w:val="14"/>
                <w:lang w:eastAsia="it-IT"/>
              </w:rPr>
            </w:pPr>
            <w:r>
              <w:rPr>
                <w:rFonts w:ascii="Aptos Narrow" w:hAnsi="Aptos Narrow"/>
                <w:color w:val="000000"/>
                <w:sz w:val="16"/>
                <w:szCs w:val="16"/>
              </w:rPr>
              <w:t>indebita</w:t>
            </w:r>
          </w:p>
        </w:tc>
        <w:tc>
          <w:tcPr>
            <w:tcW w:w="206" w:type="dxa"/>
            <w:tcBorders>
              <w:top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r>
          </w:p>
        </w:tc>
        <w:tc>
          <w:tcPr>
            <w:tcW w:w="1575" w:type="dxa"/>
            <w:gridSpan w:val="3"/>
            <w:tcBorders>
              <w:top w:val="single" w:sz="4" w:space="0" w:color="000000"/>
              <w:bottom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ascii="Aptos Narrow" w:hAnsi="Aptos Narrow"/>
                <w:color w:val="000000"/>
                <w:sz w:val="16"/>
                <w:szCs w:val="16"/>
              </w:rPr>
              <w:t>Corruzione</w:t>
            </w:r>
          </w:p>
        </w:tc>
        <w:tc>
          <w:tcPr>
            <w:tcW w:w="207" w:type="dxa"/>
            <w:tcBorders>
              <w:top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r>
          </w:p>
        </w:tc>
        <w:tc>
          <w:tcPr>
            <w:tcW w:w="1517" w:type="dxa"/>
            <w:gridSpan w:val="3"/>
            <w:tcBorders>
              <w:top w:val="single" w:sz="4" w:space="0" w:color="000000"/>
              <w:bottom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ascii="Aptos Narrow" w:hAnsi="Aptos Narrow"/>
                <w:color w:val="000000"/>
                <w:sz w:val="16"/>
                <w:szCs w:val="16"/>
              </w:rPr>
              <w:t>Turbativa del servizio pubblico e della custodia</w:t>
            </w:r>
          </w:p>
        </w:tc>
        <w:tc>
          <w:tcPr>
            <w:tcW w:w="1606" w:type="dxa"/>
            <w:gridSpan w:val="3"/>
            <w:tcBorders>
              <w:top w:val="single" w:sz="4" w:space="0" w:color="000000"/>
              <w:bottom w:val="single" w:sz="4" w:space="0" w:color="000000"/>
            </w:tcBorders>
            <w:vAlign w:val="bottom"/>
          </w:tcPr>
          <w:p>
            <w:pPr>
              <w:pStyle w:val="Normal"/>
              <w:jc w:val="center"/>
              <w:rPr>
                <w:rFonts w:ascii="Aptos Narrow" w:hAnsi="Aptos Narrow"/>
                <w:color w:val="000000"/>
                <w:sz w:val="16"/>
                <w:szCs w:val="16"/>
              </w:rPr>
            </w:pPr>
            <w:r>
              <w:rPr>
                <w:rFonts w:ascii="Aptos Narrow" w:hAnsi="Aptos Narrow"/>
                <w:color w:val="000000"/>
                <w:sz w:val="16"/>
                <w:szCs w:val="16"/>
              </w:rPr>
              <w:t>Totale reati</w:t>
            </w:r>
          </w:p>
          <w:p>
            <w:pPr>
              <w:pStyle w:val="Normal"/>
              <w:jc w:val="center"/>
              <w:rPr>
                <w:rFonts w:ascii="Aptos" w:hAnsi="Aptos" w:eastAsia="Times New Roman" w:cs="Times New Roman"/>
                <w:color w:val="000000"/>
                <w:sz w:val="14"/>
                <w:szCs w:val="14"/>
                <w:lang w:eastAsia="it-IT"/>
              </w:rPr>
            </w:pPr>
            <w:r>
              <w:rPr>
                <w:rFonts w:ascii="Aptos Narrow" w:hAnsi="Aptos Narrow"/>
                <w:color w:val="000000"/>
                <w:sz w:val="16"/>
                <w:szCs w:val="16"/>
              </w:rPr>
              <w:t>contro PA</w:t>
            </w:r>
          </w:p>
        </w:tc>
      </w:tr>
      <w:tr>
        <w:trPr>
          <w:trHeight w:val="1273" w:hRule="atLeast"/>
        </w:trPr>
        <w:tc>
          <w:tcPr>
            <w:tcW w:w="1381" w:type="dxa"/>
            <w:tcBorders>
              <w:bottom w:val="single" w:sz="4" w:space="0" w:color="000000"/>
            </w:tcBorders>
            <w:vAlign w:val="bottom"/>
          </w:tcPr>
          <w:p>
            <w:pPr>
              <w:pStyle w:val="Normal"/>
              <w:jc w:val="center"/>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20"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Totale delitti</w:t>
            </w:r>
          </w:p>
        </w:tc>
        <w:tc>
          <w:tcPr>
            <w:tcW w:w="463"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Indice di variazione</w:t>
            </w:r>
          </w:p>
        </w:tc>
        <w:tc>
          <w:tcPr>
            <w:tcW w:w="448"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Tasso di delittuosità</w:t>
            </w:r>
          </w:p>
        </w:tc>
        <w:tc>
          <w:tcPr>
            <w:tcW w:w="204" w:type="dxa"/>
            <w:tcBorders>
              <w:bottom w:val="single" w:sz="4" w:space="0" w:color="000000"/>
            </w:tcBorders>
            <w:vAlign w:val="bottom"/>
          </w:tcPr>
          <w:p>
            <w:pPr>
              <w:pStyle w:val="Normal"/>
              <w:jc w:val="center"/>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Totale delitti</w:t>
            </w:r>
          </w:p>
        </w:tc>
        <w:tc>
          <w:tcPr>
            <w:tcW w:w="452"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Indice di variazione</w:t>
            </w:r>
          </w:p>
        </w:tc>
        <w:tc>
          <w:tcPr>
            <w:tcW w:w="448"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Tasso di delittuosità</w:t>
            </w:r>
          </w:p>
        </w:tc>
        <w:tc>
          <w:tcPr>
            <w:tcW w:w="206" w:type="dxa"/>
            <w:tcBorders>
              <w:bottom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r>
          </w:p>
        </w:tc>
        <w:tc>
          <w:tcPr>
            <w:tcW w:w="537"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Totale delitti</w:t>
            </w:r>
          </w:p>
        </w:tc>
        <w:tc>
          <w:tcPr>
            <w:tcW w:w="590"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Indice di variazione</w:t>
            </w:r>
          </w:p>
        </w:tc>
        <w:tc>
          <w:tcPr>
            <w:tcW w:w="448"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Tasso di delittuosità</w:t>
            </w:r>
          </w:p>
        </w:tc>
        <w:tc>
          <w:tcPr>
            <w:tcW w:w="207" w:type="dxa"/>
            <w:tcBorders>
              <w:bottom w:val="single" w:sz="4" w:space="0" w:color="000000"/>
            </w:tcBorders>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r>
          </w:p>
        </w:tc>
        <w:tc>
          <w:tcPr>
            <w:tcW w:w="618"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Totale delitti</w:t>
            </w:r>
          </w:p>
        </w:tc>
        <w:tc>
          <w:tcPr>
            <w:tcW w:w="450"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Indice di variazione</w:t>
            </w:r>
          </w:p>
        </w:tc>
        <w:tc>
          <w:tcPr>
            <w:tcW w:w="449"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Tasso di delittuosità</w:t>
            </w:r>
          </w:p>
        </w:tc>
        <w:tc>
          <w:tcPr>
            <w:tcW w:w="704"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Totale delitti</w:t>
            </w:r>
          </w:p>
        </w:tc>
        <w:tc>
          <w:tcPr>
            <w:tcW w:w="449"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Indice di variazione</w:t>
            </w:r>
          </w:p>
        </w:tc>
        <w:tc>
          <w:tcPr>
            <w:tcW w:w="453" w:type="dxa"/>
            <w:tcBorders>
              <w:top w:val="single" w:sz="4" w:space="0" w:color="000000"/>
              <w:bottom w:val="single" w:sz="4" w:space="0" w:color="000000"/>
            </w:tcBorders>
            <w:textDirection w:val="btLr"/>
            <w:vAlign w:val="bottom"/>
          </w:tcPr>
          <w:p>
            <w:pPr>
              <w:pStyle w:val="Normal"/>
              <w:jc w:val="center"/>
              <w:rPr>
                <w:rFonts w:ascii="Aptos" w:hAnsi="Aptos" w:eastAsia="Times New Roman" w:cs="Times New Roman"/>
                <w:color w:val="000000"/>
                <w:sz w:val="14"/>
                <w:szCs w:val="14"/>
                <w:lang w:eastAsia="it-IT"/>
              </w:rPr>
            </w:pPr>
            <w:r>
              <w:rPr>
                <w:rFonts w:eastAsia="Times New Roman" w:cs="Times New Roman" w:ascii="Aptos" w:hAnsi="Aptos"/>
                <w:color w:val="000000"/>
                <w:sz w:val="14"/>
                <w:szCs w:val="14"/>
                <w:lang w:eastAsia="it-IT"/>
              </w:rPr>
              <w:t>Tasso di delittuosità</w:t>
            </w:r>
          </w:p>
        </w:tc>
      </w:tr>
      <w:tr>
        <w:trPr>
          <w:trHeight w:val="225" w:hRule="atLeast"/>
        </w:trPr>
        <w:tc>
          <w:tcPr>
            <w:tcW w:w="1381" w:type="dxa"/>
            <w:tcBorders>
              <w:top w:val="single" w:sz="4" w:space="0" w:color="000000"/>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Italia</w:t>
            </w:r>
          </w:p>
        </w:tc>
        <w:tc>
          <w:tcPr>
            <w:tcW w:w="620"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32.239</w:t>
            </w:r>
          </w:p>
        </w:tc>
        <w:tc>
          <w:tcPr>
            <w:tcW w:w="463"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-0,7</w:t>
            </w:r>
          </w:p>
        </w:tc>
        <w:tc>
          <w:tcPr>
            <w:tcW w:w="448"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3,4</w:t>
            </w:r>
          </w:p>
        </w:tc>
        <w:tc>
          <w:tcPr>
            <w:tcW w:w="204" w:type="dxa"/>
            <w:tcBorders>
              <w:top w:val="single" w:sz="4" w:space="0" w:color="000000"/>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12.009</w:t>
            </w:r>
          </w:p>
        </w:tc>
        <w:tc>
          <w:tcPr>
            <w:tcW w:w="452"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-1,4</w:t>
            </w:r>
          </w:p>
        </w:tc>
        <w:tc>
          <w:tcPr>
            <w:tcW w:w="448"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1,3</w:t>
            </w:r>
          </w:p>
        </w:tc>
        <w:tc>
          <w:tcPr>
            <w:tcW w:w="206"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7.790</w:t>
            </w:r>
          </w:p>
        </w:tc>
        <w:tc>
          <w:tcPr>
            <w:tcW w:w="590"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-6,0</w:t>
            </w:r>
          </w:p>
        </w:tc>
        <w:tc>
          <w:tcPr>
            <w:tcW w:w="448"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0,8</w:t>
            </w:r>
          </w:p>
        </w:tc>
        <w:tc>
          <w:tcPr>
            <w:tcW w:w="207"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87.010</w:t>
            </w:r>
          </w:p>
        </w:tc>
        <w:tc>
          <w:tcPr>
            <w:tcW w:w="450"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-5,9</w:t>
            </w:r>
          </w:p>
        </w:tc>
        <w:tc>
          <w:tcPr>
            <w:tcW w:w="449"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9,1</w:t>
            </w:r>
          </w:p>
        </w:tc>
        <w:tc>
          <w:tcPr>
            <w:tcW w:w="704"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139.048</w:t>
            </w:r>
          </w:p>
        </w:tc>
        <w:tc>
          <w:tcPr>
            <w:tcW w:w="449"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-4,5</w:t>
            </w:r>
          </w:p>
        </w:tc>
        <w:tc>
          <w:tcPr>
            <w:tcW w:w="453" w:type="dxa"/>
            <w:tcBorders>
              <w:top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14,5</w:t>
            </w:r>
          </w:p>
        </w:tc>
      </w:tr>
      <w:tr>
        <w:trPr>
          <w:trHeight w:val="225" w:hRule="atLeast"/>
        </w:trPr>
        <w:tc>
          <w:tcPr>
            <w:tcW w:w="1381" w:type="dxa"/>
            <w:tcBorders/>
            <w:vAlign w:val="bottom"/>
          </w:tcPr>
          <w:p>
            <w:pPr>
              <w:pStyle w:val="Normal"/>
              <w:ind w:firstLine="140"/>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Nord-est</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3.024</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-1,1</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1,6</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1.758</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-2,6</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831</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-6,1</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0,4</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7.261</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-4,3</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3,9</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12.874</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-3,5</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7,0</w:t>
            </w:r>
          </w:p>
        </w:tc>
      </w:tr>
      <w:tr>
        <w:trPr>
          <w:trHeight w:val="225" w:hRule="atLeast"/>
        </w:trPr>
        <w:tc>
          <w:tcPr>
            <w:tcW w:w="1381" w:type="dxa"/>
            <w:tcBorders/>
            <w:vAlign w:val="bottom"/>
          </w:tcPr>
          <w:p>
            <w:pPr>
              <w:pStyle w:val="Normal"/>
              <w:ind w:firstLine="280"/>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Emilia-Rom.</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1.217</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-0,8</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1,7</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533</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-2,8</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0,8</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346</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-9,5</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0,5</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4.008</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-6,0</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5,7</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6.104</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-5,0</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8,7</w:t>
            </w:r>
          </w:p>
        </w:tc>
      </w:tr>
      <w:tr>
        <w:trPr>
          <w:trHeight w:val="225" w:hRule="exact"/>
        </w:trPr>
        <w:tc>
          <w:tcPr>
            <w:tcW w:w="1381"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20"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63"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48"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52"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48"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206"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537"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590"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48"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207"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8"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50"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49"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7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49"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453"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Piacenza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57</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1,9</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29</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0,6</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31</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-100,0</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0,7</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168</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-8,8</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3,7</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285</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-7,5</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6,2</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Parma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189</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-1,7</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2,7</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43</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-7,1</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0,6</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43</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-4,5</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0,6</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304</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-7,2</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4,3</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579</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-5,3</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8,2</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Reggio nell'Emilia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80</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0,0</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31</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4,7</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0,4</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33</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-100,0</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0,4</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694</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-5,3</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8,3</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838</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-5,1</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10,0</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Modena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128</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1,5</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1,1</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59</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2,7</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0,5</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41</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-4,5</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0,4</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646</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-6,2</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5,8</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874</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-5,0</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7,8</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Bologna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313</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-2,4</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2,0</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94</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0,6</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44</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-100,0</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0,3</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1.090</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-5,4</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6,8</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1.541</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-4,8</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9,7</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Ferrara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97</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10,5</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1,7</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51</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0,9</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49</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2,7</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0,9</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246</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-5,2</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4,4</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443</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-1,7</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7,9</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Ravenna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90</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-1,5</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1,5</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123</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-8,8</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2,0</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30</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-7,1</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0,5</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375</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-6,2</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6,1</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618</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-6,6</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10,0</w:t>
            </w:r>
          </w:p>
        </w:tc>
      </w:tr>
      <w:tr>
        <w:trPr>
          <w:trHeight w:val="225" w:hRule="atLeast"/>
        </w:trPr>
        <w:tc>
          <w:tcPr>
            <w:tcW w:w="1381" w:type="dxa"/>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Forlì-Cesena</w:t>
            </w:r>
          </w:p>
        </w:tc>
        <w:tc>
          <w:tcPr>
            <w:tcW w:w="62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151</w:t>
            </w:r>
          </w:p>
        </w:tc>
        <w:tc>
          <w:tcPr>
            <w:tcW w:w="46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-3,0</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2,4</w:t>
            </w:r>
          </w:p>
        </w:tc>
        <w:tc>
          <w:tcPr>
            <w:tcW w:w="204" w:type="dxa"/>
            <w:tcBorders/>
            <w:vAlign w:val="bottom"/>
          </w:tcPr>
          <w:p>
            <w:pPr>
              <w:pStyle w:val="Normal"/>
              <w:jc w:val="right"/>
              <w:rPr>
                <w:rFonts w:ascii="Times New Roman" w:hAnsi="Times New Roman" w:eastAsia="Times New Roman" w:cs="Times New Roman"/>
                <w:sz w:val="14"/>
                <w:szCs w:val="14"/>
                <w:lang w:eastAsia="it-IT"/>
              </w:rPr>
            </w:pPr>
            <w:r>
              <w:rPr>
                <w:rFonts w:eastAsia="Times New Roman" w:cs="Times New Roman" w:ascii="Times New Roman" w:hAnsi="Times New Roman"/>
                <w:sz w:val="14"/>
                <w:szCs w:val="14"/>
                <w:lang w:eastAsia="it-IT"/>
              </w:rPr>
            </w:r>
          </w:p>
        </w:tc>
        <w:tc>
          <w:tcPr>
            <w:tcW w:w="61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63</w:t>
            </w:r>
          </w:p>
        </w:tc>
        <w:tc>
          <w:tcPr>
            <w:tcW w:w="452"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w:t>
            </w:r>
          </w:p>
        </w:tc>
        <w:tc>
          <w:tcPr>
            <w:tcW w:w="206"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25</w:t>
            </w:r>
          </w:p>
        </w:tc>
        <w:tc>
          <w:tcPr>
            <w:tcW w:w="59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-100,0</w:t>
            </w:r>
          </w:p>
        </w:tc>
        <w:tc>
          <w:tcPr>
            <w:tcW w:w="44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0,4</w:t>
            </w:r>
          </w:p>
        </w:tc>
        <w:tc>
          <w:tcPr>
            <w:tcW w:w="207"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249</w:t>
            </w:r>
          </w:p>
        </w:tc>
        <w:tc>
          <w:tcPr>
            <w:tcW w:w="450"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-4,3</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4,0</w:t>
            </w:r>
          </w:p>
        </w:tc>
        <w:tc>
          <w:tcPr>
            <w:tcW w:w="704"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488</w:t>
            </w:r>
          </w:p>
        </w:tc>
        <w:tc>
          <w:tcPr>
            <w:tcW w:w="449"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-3,1</w:t>
            </w:r>
          </w:p>
        </w:tc>
        <w:tc>
          <w:tcPr>
            <w:tcW w:w="453" w:type="dxa"/>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7,8</w:t>
            </w:r>
          </w:p>
        </w:tc>
      </w:tr>
      <w:tr>
        <w:trPr>
          <w:trHeight w:val="225" w:hRule="atLeast"/>
        </w:trPr>
        <w:tc>
          <w:tcPr>
            <w:tcW w:w="1381" w:type="dxa"/>
            <w:tcBorders>
              <w:bottom w:val="single" w:sz="4" w:space="0" w:color="000000"/>
            </w:tcBorders>
            <w:vAlign w:val="bottom"/>
          </w:tcPr>
          <w:p>
            <w:pPr>
              <w:pStyle w:val="Normal"/>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Rimini</w:t>
            </w:r>
          </w:p>
        </w:tc>
        <w:tc>
          <w:tcPr>
            <w:tcW w:w="620"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109</w:t>
            </w:r>
          </w:p>
        </w:tc>
        <w:tc>
          <w:tcPr>
            <w:tcW w:w="463"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0,0</w:t>
            </w:r>
          </w:p>
        </w:tc>
        <w:tc>
          <w:tcPr>
            <w:tcW w:w="448"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2,1</w:t>
            </w:r>
          </w:p>
        </w:tc>
        <w:tc>
          <w:tcPr>
            <w:tcW w:w="204"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9"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35</w:t>
            </w:r>
          </w:p>
        </w:tc>
        <w:tc>
          <w:tcPr>
            <w:tcW w:w="452"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w:t>
            </w:r>
          </w:p>
        </w:tc>
        <w:tc>
          <w:tcPr>
            <w:tcW w:w="448"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0,7</w:t>
            </w:r>
          </w:p>
        </w:tc>
        <w:tc>
          <w:tcPr>
            <w:tcW w:w="206"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537"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48</w:t>
            </w:r>
          </w:p>
        </w:tc>
        <w:tc>
          <w:tcPr>
            <w:tcW w:w="590"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-10,2</w:t>
            </w:r>
          </w:p>
        </w:tc>
        <w:tc>
          <w:tcPr>
            <w:tcW w:w="448"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0,9</w:t>
            </w:r>
          </w:p>
        </w:tc>
        <w:tc>
          <w:tcPr>
            <w:tcW w:w="207"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r>
          </w:p>
        </w:tc>
        <w:tc>
          <w:tcPr>
            <w:tcW w:w="618"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236</w:t>
            </w:r>
          </w:p>
        </w:tc>
        <w:tc>
          <w:tcPr>
            <w:tcW w:w="450"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-9,3</w:t>
            </w:r>
          </w:p>
        </w:tc>
        <w:tc>
          <w:tcPr>
            <w:tcW w:w="449"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4,5</w:t>
            </w:r>
          </w:p>
        </w:tc>
        <w:tc>
          <w:tcPr>
            <w:tcW w:w="704"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428</w:t>
            </w:r>
          </w:p>
        </w:tc>
        <w:tc>
          <w:tcPr>
            <w:tcW w:w="449"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-6,7</w:t>
            </w:r>
          </w:p>
        </w:tc>
        <w:tc>
          <w:tcPr>
            <w:tcW w:w="453" w:type="dxa"/>
            <w:tcBorders>
              <w:bottom w:val="single" w:sz="4" w:space="0" w:color="000000"/>
            </w:tcBorders>
            <w:vAlign w:val="bottom"/>
          </w:tcPr>
          <w:p>
            <w:pPr>
              <w:pStyle w:val="Normal"/>
              <w:jc w:val="right"/>
              <w:rPr>
                <w:rFonts w:ascii="Aptos Narrow" w:hAnsi="Aptos Narrow" w:eastAsia="Times New Roman" w:cs="Times New Roman"/>
                <w:color w:val="000000"/>
                <w:sz w:val="14"/>
                <w:szCs w:val="14"/>
                <w:lang w:eastAsia="it-IT"/>
              </w:rPr>
            </w:pPr>
            <w:r>
              <w:rPr>
                <w:rFonts w:eastAsia="Times New Roman" w:cs="Times New Roman" w:ascii="Aptos Narrow" w:hAnsi="Aptos Narrow"/>
                <w:color w:val="000000"/>
                <w:sz w:val="14"/>
                <w:szCs w:val="14"/>
                <w:lang w:eastAsia="it-IT"/>
              </w:rPr>
              <w:t>8,1</w:t>
            </w:r>
          </w:p>
        </w:tc>
      </w:tr>
    </w:tbl>
    <w:p>
      <w:pPr>
        <w:pStyle w:val="Normal"/>
        <w:jc w:val="both"/>
        <w:rPr>
          <w:rFonts w:ascii="Arial" w:hAnsi="Arial" w:eastAsia="Times New Roman" w:cs="Arial"/>
          <w:sz w:val="16"/>
          <w:szCs w:val="16"/>
          <w:lang w:eastAsia="it-IT"/>
        </w:rPr>
      </w:pPr>
      <w:r>
        <w:rPr>
          <w:rFonts w:eastAsia="Times New Roman" w:cs="Arial" w:ascii="Arial" w:hAnsi="Arial"/>
          <w:sz w:val="16"/>
          <w:szCs w:val="16"/>
          <w:lang w:eastAsia="it-IT"/>
        </w:rPr>
        <w:t>Fonte: Nostra elaborazione su dati SDI del Ministero dell’Interno.</w:t>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r>
    </w:p>
    <w:p>
      <w:pPr>
        <w:pStyle w:val="Normal"/>
        <w:ind w:firstLine="284"/>
        <w:jc w:val="both"/>
        <w:rPr>
          <w:rFonts w:ascii="Arial" w:hAnsi="Arial" w:cs="Arial"/>
          <w:sz w:val="22"/>
          <w:szCs w:val="22"/>
        </w:rPr>
      </w:pPr>
      <w:r>
        <w:rPr>
          <w:rFonts w:cs="Arial" w:ascii="Arial" w:hAnsi="Arial"/>
          <w:sz w:val="22"/>
          <w:szCs w:val="22"/>
        </w:rPr>
        <w:t>In sintesi, l’analisi dei reati a danno della PApone l’Emilia-Romagna in una posizione intermedia tra la situazione che si registra a livello nazionale e quella del Nord-Est, riflettendo una generale tendenza al contenimento.</w:t>
      </w:r>
    </w:p>
    <w:p>
      <w:pPr>
        <w:pStyle w:val="Normal"/>
        <w:ind w:firstLine="284"/>
        <w:jc w:val="both"/>
        <w:rPr>
          <w:rFonts w:ascii="Arial" w:hAnsi="Arial" w:cs="Arial"/>
          <w:sz w:val="22"/>
          <w:szCs w:val="22"/>
        </w:rPr>
      </w:pPr>
      <w:r>
        <w:rPr>
          <w:rFonts w:cs="Arial" w:ascii="Arial" w:hAnsi="Arial"/>
          <w:sz w:val="22"/>
          <w:szCs w:val="22"/>
        </w:rPr>
        <w:t>La maggiore incidenza di questi reati in regione rispetto al Nord-Est è attribuibile soprattutto alle condotte di turbativa del servizio pubblico e della custodia di beni sequestrati. Nonostante la tendenza generale alla riduzione dei delitti, alcune eccezioni – in particolare l’incremento dell’abuso di funzione a Ferrara e dell’appropriazione indebita a Reggio Emilia e Modena – evidenziano criticità locali che meritano un’attenzione mirata e interventi specifici per consolidare e rafforzare i risultati positivi conseguiti a livello regionale.</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r>
    </w:p>
    <w:p>
      <w:pPr>
        <w:pStyle w:val="Normal"/>
        <w:jc w:val="both"/>
        <w:rPr>
          <w:rFonts w:ascii="Arial" w:hAnsi="Arial" w:cs="Arial"/>
          <w:b/>
          <w:bCs/>
          <w:sz w:val="22"/>
          <w:szCs w:val="22"/>
        </w:rPr>
      </w:pPr>
      <w:r>
        <w:rPr>
          <w:rFonts w:cs="Arial" w:ascii="Arial" w:hAnsi="Arial"/>
          <w:b/>
          <w:bCs/>
          <w:sz w:val="22"/>
          <w:szCs w:val="22"/>
        </w:rPr>
        <w:t>4. I numeri del riciclaggio</w:t>
      </w:r>
    </w:p>
    <w:p>
      <w:pPr>
        <w:pStyle w:val="Normal"/>
        <w:ind w:firstLine="284"/>
        <w:jc w:val="both"/>
        <w:rPr>
          <w:rFonts w:ascii="Arial" w:hAnsi="Arial" w:cs="Arial"/>
          <w:sz w:val="22"/>
          <w:szCs w:val="22"/>
        </w:rPr>
      </w:pPr>
      <w:r>
        <w:rPr>
          <w:rFonts w:cs="Arial" w:ascii="Arial" w:hAnsi="Arial"/>
          <w:sz w:val="22"/>
          <w:szCs w:val="22"/>
        </w:rPr>
        <w:t>Il riciclaggio e la corruzione rappresentano due fenomeni strettamente interconnessi, che spesso coesistono all’interno dello stesso sistema di criminalità economica e organizzata. Entrambi sono in grado di influenzare profondamente l’economia e il mercato, di compromettere la fiducia dei cittadini nelle istituzioni e, qualora assumano una rilevanza sistemica, di mettere a rischio gli assetti democratici di un paese.</w:t>
      </w:r>
    </w:p>
    <w:p>
      <w:pPr>
        <w:pStyle w:val="Normal"/>
        <w:ind w:firstLine="284"/>
        <w:jc w:val="both"/>
        <w:rPr>
          <w:rFonts w:ascii="Arial" w:hAnsi="Arial" w:cs="Arial"/>
          <w:sz w:val="22"/>
          <w:szCs w:val="22"/>
        </w:rPr>
      </w:pPr>
      <w:r>
        <w:rPr>
          <w:rFonts w:cs="Arial" w:ascii="Arial" w:hAnsi="Arial"/>
          <w:sz w:val="22"/>
          <w:szCs w:val="22"/>
        </w:rPr>
        <w:t>Analogamente a qualsiasi capitale accumulato illecitamente, i proventi derivanti dalla corruzione, ad esempio attraverso tangenti o appalti truccati, vengono frequentemente sottoposti a complesse operazioni di riciclaggio. Tali procedure hanno lo scopo di occultare la loro origine illecita, permettendone successivamente l’investimento nell’economia legale, ad esempio attraverso acquisizioni immobiliari o societarie</w:t>
      </w:r>
      <w:r>
        <w:rPr>
          <w:rStyle w:val="FootnoteReference"/>
          <w:rFonts w:cs="Arial" w:ascii="Arial" w:hAnsi="Arial"/>
          <w:sz w:val="22"/>
          <w:szCs w:val="22"/>
        </w:rPr>
        <w:footnoteReference w:id="23"/>
      </w:r>
      <w:r>
        <w:rPr>
          <w:rFonts w:cs="Arial" w:ascii="Arial" w:hAnsi="Arial"/>
          <w:sz w:val="22"/>
          <w:szCs w:val="22"/>
        </w:rPr>
        <w:t>.</w:t>
      </w:r>
    </w:p>
    <w:p>
      <w:pPr>
        <w:pStyle w:val="Normal"/>
        <w:ind w:firstLine="284"/>
        <w:jc w:val="both"/>
        <w:rPr>
          <w:rFonts w:ascii="Arial" w:hAnsi="Arial" w:cs="Arial"/>
          <w:sz w:val="22"/>
          <w:szCs w:val="22"/>
        </w:rPr>
      </w:pPr>
      <w:r>
        <w:rPr>
          <w:rFonts w:cs="Arial" w:ascii="Arial" w:hAnsi="Arial"/>
          <w:sz w:val="22"/>
          <w:szCs w:val="22"/>
        </w:rPr>
        <w:t>Per le finalità di questo documento, risulta quindi opportuno esaminare i due reati in maniera congiunta, considerandoli fenomeni speculari. La distribuzione territoriale dei due fenomeni, come evidenziata nel grafico sottostante, supporta questo approccio analitico. La lettura del grafico mostra infatti una chiara correlazione tra corruzione e riciclaggio: generalmente, all’aumento dell’uno corrisponde un incremento dell’altro. Ne consegue che le regioni con tassi elevati di corruzione sono, in genere, anche quelle in cui il riciclaggio è più diffuso, e viceversa (cfr. grafico 1).</w:t>
      </w:r>
    </w:p>
    <w:p>
      <w:pPr>
        <w:pStyle w:val="Normal"/>
        <w:ind w:firstLine="284"/>
        <w:jc w:val="both"/>
        <w:rPr>
          <w:rFonts w:ascii="Arial" w:hAnsi="Arial" w:cs="Arial"/>
          <w:sz w:val="22"/>
          <w:szCs w:val="22"/>
        </w:rPr>
      </w:pPr>
      <w:r>
        <w:rPr>
          <w:rFonts w:cs="Arial" w:ascii="Arial" w:hAnsi="Arial"/>
          <w:sz w:val="22"/>
          <w:szCs w:val="22"/>
        </w:rPr>
        <w:t>Alla luce di quanto evidenziato, risulta evidente che l’adozione di misure efficaci volte a ostacolare l’utilizzo e il reimpiego dei proventi illeciti rappresenti uno strumento fondamentale non solo per ridurre la corruzione, ma anche per prevenirla, incidendo sulla disponibilità di risorse finanziarie che alimentano condotte illecite. In questo senso, il contrasto al riciclaggio assume un ruolo strategico: limitando la possibilità di ripulire capitali di origine criminale, si riduce la capacità operativa dei soggetti coinvolti in scambi corruttivi e in altre pratiche illegali.</w:t>
      </w:r>
    </w:p>
    <w:p>
      <w:pPr>
        <w:pStyle w:val="Normal"/>
        <w:ind w:firstLine="284"/>
        <w:jc w:val="both"/>
        <w:rPr>
          <w:rFonts w:ascii="Arial" w:hAnsi="Arial" w:cs="Arial"/>
          <w:sz w:val="22"/>
          <w:szCs w:val="22"/>
        </w:rPr>
      </w:pPr>
      <w:r>
        <w:rPr>
          <w:rFonts w:cs="Arial" w:ascii="Arial" w:hAnsi="Arial"/>
          <w:sz w:val="22"/>
          <w:szCs w:val="22"/>
        </w:rPr>
        <w:t>Va tuttavia sottolineato che la lotta alla corruzione da sola non può eliminare il fenomeno del riciclaggio. Quest’ultimo trae origine da una pluralità di attività criminali, che spesso generano profitti molto più consistenti rispetto agli scambi corruttivi, come ad esempio il traffico di sostanze stupefacenti, il contrabbando, le frodi fiscali o i reati societari. Ciò implica che le strategie di contrasto devono essere integrate e multilivello, combinando interventi diretti sulla corruzione con misure più ampie di monitoraggio finanziario, controlli bancari e investigazioni patrimoniali. Solo un approccio complessivo, in grado di incidere simultaneamente sulle fonti e sul reinvestimento dei capitali illeciti, può effettivamente ridurre sia la corruzione sia il riciclaggio, rafforzando l’integrità delle istituzioni e la fiducia dei cittadini nel sistema economico e amministrativo.</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t>Grafico 1:</w:t>
      </w:r>
    </w:p>
    <w:p>
      <w:pPr>
        <w:pStyle w:val="Normal"/>
        <w:jc w:val="both"/>
        <w:rPr>
          <w:rFonts w:ascii="Times New Roman" w:hAnsi="Times New Roman" w:cs="Times New Roman"/>
        </w:rPr>
      </w:pPr>
      <w:r>
        <w:rPr>
          <w:rFonts w:cs="Times New Roman" w:ascii="Times New Roman" w:hAnsi="Times New Roman"/>
          <w:smallCaps/>
          <w:sz w:val="18"/>
          <w:szCs w:val="18"/>
        </w:rPr>
        <w:t>Distribuzione dei tassi di corruzione e di riciclaggio in italia per regioni ricavati dai dati delle denunce (Tassi medi per 100 mila residenti). Anni 2008-2022</w:t>
      </w:r>
    </w:p>
    <w:p>
      <w:pPr>
        <w:pStyle w:val="Normal"/>
        <w:jc w:val="both"/>
        <w:rPr>
          <w:rFonts w:ascii="Times New Roman" w:hAnsi="Times New Roman" w:cs="Times New Roman"/>
        </w:rPr>
      </w:pPr>
      <w:r>
        <w:rPr/>
        <w:drawing>
          <wp:inline distT="0" distB="0" distL="0" distR="0">
            <wp:extent cx="5400040" cy="3484245"/>
            <wp:effectExtent l="0" t="0" r="0" b="0"/>
            <wp:docPr id="7"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2" descr=""/>
                    <pic:cNvPicPr>
                      <a:picLocks noChangeAspect="1" noChangeArrowheads="1"/>
                    </pic:cNvPicPr>
                  </pic:nvPicPr>
                  <pic:blipFill>
                    <a:blip r:embed="rId10"/>
                    <a:stretch>
                      <a:fillRect/>
                    </a:stretch>
                  </pic:blipFill>
                  <pic:spPr bwMode="auto">
                    <a:xfrm>
                      <a:off x="0" y="0"/>
                      <a:ext cx="5400040" cy="3484245"/>
                    </a:xfrm>
                    <a:prstGeom prst="rect">
                      <a:avLst/>
                    </a:prstGeom>
                  </pic:spPr>
                </pic:pic>
              </a:graphicData>
            </a:graphic>
          </wp:inline>
        </w:drawing>
      </w:r>
    </w:p>
    <w:p>
      <w:pPr>
        <w:pStyle w:val="Normal"/>
        <w:jc w:val="both"/>
        <w:rPr>
          <w:rFonts w:ascii="Arial" w:hAnsi="Arial" w:eastAsia="Times New Roman" w:cs="Arial"/>
          <w:sz w:val="16"/>
          <w:szCs w:val="16"/>
          <w:lang w:eastAsia="it-IT"/>
        </w:rPr>
      </w:pPr>
      <w:r>
        <w:rPr>
          <w:rFonts w:eastAsia="Times New Roman" w:cs="Arial" w:ascii="Arial" w:hAnsi="Arial"/>
          <w:sz w:val="16"/>
          <w:szCs w:val="16"/>
          <w:lang w:eastAsia="it-IT"/>
        </w:rPr>
        <w:t>Fonte: nostra elaborazione su dati del Ministero dell’Interno.</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sz w:val="22"/>
          <w:szCs w:val="22"/>
        </w:rPr>
      </w:pPr>
      <w:r>
        <w:rPr>
          <w:rFonts w:cs="Times New Roman" w:ascii="Times New Roman" w:hAnsi="Times New Roman"/>
          <w:sz w:val="22"/>
          <w:szCs w:val="22"/>
        </w:rPr>
        <w:t>Il contrasto alla criminalità organizzata e alla corruzione negli ultimi anni ha progressivamente posto grande attenzione sull’ostacolo all’accumulo e all’impiego dei capitali di origine illecita, riconoscendo il ruolo centrale del controllo finanziario come complemento alle tradizionali attività repressive. Questo approccio integrato mira a intercettare e ostacolare sia l’utilizzo sia la dissimulazione dei proventi criminali, riducendo così le risorse disponibili per alimentare ulteriori condotte illecite, comprese quelle corruttive.</w:t>
      </w:r>
    </w:p>
    <w:p>
      <w:pPr>
        <w:pStyle w:val="Normal"/>
        <w:ind w:firstLine="284"/>
        <w:jc w:val="both"/>
        <w:rPr>
          <w:rFonts w:ascii="Times New Roman" w:hAnsi="Times New Roman" w:cs="Times New Roman"/>
          <w:sz w:val="22"/>
          <w:szCs w:val="22"/>
        </w:rPr>
      </w:pPr>
      <w:r>
        <w:rPr>
          <w:rFonts w:cs="Times New Roman" w:ascii="Times New Roman" w:hAnsi="Times New Roman"/>
          <w:sz w:val="22"/>
          <w:szCs w:val="22"/>
        </w:rPr>
        <w:t>In questo contesto, l’Unità di Informazione Finanziaria (UIF) assume una funzione cruciale come autorità deputata alla raccolta e all’analisi dei flussi finanziari sospetti</w:t>
      </w:r>
      <w:r>
        <w:rPr>
          <w:rStyle w:val="FootnoteReference"/>
          <w:rFonts w:ascii="Times New Roman" w:hAnsi="Times New Roman"/>
          <w:sz w:val="22"/>
          <w:szCs w:val="22"/>
        </w:rPr>
        <w:footnoteReference w:id="24"/>
      </w:r>
      <w:r>
        <w:rPr>
          <w:rFonts w:cs="Times New Roman" w:ascii="Times New Roman" w:hAnsi="Times New Roman"/>
          <w:sz w:val="22"/>
          <w:szCs w:val="22"/>
        </w:rPr>
        <w:t>. L’UIF acquisisce informazioni attraverso le segnalazioni di operazioni sospette trasmesse da intermediari finanziari, professionisti e altri operatori, valutandone la rilevanza ai fini della prevenzione del riciclaggio e del finanziamento del terrorismo. Sulla base di queste informazioni, l’Unità conduce analisi finanziarie approfondite, integrando le diverse fonti disponibili e utilizzando i poteri di cui dispone per individuare anomalie o operazioni di interesse investigativo. L’esito di tali attività viene poi condiviso con gli organi investigativi e con l’autorità giudiziaria, costituendo un supporto fondamentale per lo sviluppo di azioni di repressione efficaci e per il rafforzamento della sicurezza economica e amministrativa del Paese.</w:t>
      </w:r>
    </w:p>
    <w:p>
      <w:pPr>
        <w:pStyle w:val="Normal"/>
        <w:ind w:firstLine="284"/>
        <w:jc w:val="both"/>
        <w:rPr>
          <w:rFonts w:ascii="Times New Roman" w:hAnsi="Times New Roman" w:cs="Times New Roman"/>
          <w:sz w:val="22"/>
          <w:szCs w:val="22"/>
        </w:rPr>
      </w:pPr>
      <w:r>
        <w:rPr>
          <w:rFonts w:cs="Times New Roman" w:ascii="Times New Roman" w:hAnsi="Times New Roman"/>
          <w:sz w:val="22"/>
          <w:szCs w:val="22"/>
        </w:rPr>
        <w:t>Analizzando brevemente i dati aggregati relativi a queste operazioni, emerge che, in sedici anni, all’UIF sono state trasmesse dall’Emilia-Romagna circa 95.000 segnalazioni da parte di intermediari finanziari, professionisti e altri operatori attivi sul territorio regionale. In termini assoluti, l’Emilia-Romagna si colloca al quinto posto in Italia per numero di segnalazioni, preceduta da Lombardia, Lazio, Campania e Veneto. Tuttavia, considerando l’incidenza di tali operazioni sulla popolazione, la regione si colloca al di sotto della media nazionale e di altre realtà come Lazio e Campania, con 135 segnalazioni ogni 100.000 abitanti rispetto alle 143 della media italiana(v. tabella 6).</w:t>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t>Tabella 6:</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Operazioni sospette di riciclaggio segnalateall’uif dai soggetti obbligati. Periodo 2008-2023. (Valori assoluti, valori relativi, tassi medi su 100 mila abitanti, tendenza di lungo e breve periodo)</w:t>
      </w:r>
    </w:p>
    <w:tbl>
      <w:tblPr>
        <w:tblW w:w="5000" w:type="pct"/>
        <w:jc w:val="left"/>
        <w:tblInd w:w="140" w:type="dxa"/>
        <w:tblLayout w:type="fixed"/>
        <w:tblCellMar>
          <w:top w:w="0" w:type="dxa"/>
          <w:left w:w="70" w:type="dxa"/>
          <w:bottom w:w="0" w:type="dxa"/>
          <w:right w:w="70" w:type="dxa"/>
        </w:tblCellMar>
        <w:tblLook w:val="04a0"/>
      </w:tblPr>
      <w:tblGrid>
        <w:gridCol w:w="2470"/>
        <w:gridCol w:w="1408"/>
        <w:gridCol w:w="1518"/>
        <w:gridCol w:w="1613"/>
        <w:gridCol w:w="1470"/>
        <w:gridCol w:w="1466"/>
      </w:tblGrid>
      <w:tr>
        <w:trPr>
          <w:trHeight w:val="204" w:hRule="atLeast"/>
        </w:trPr>
        <w:tc>
          <w:tcPr>
            <w:tcW w:w="2470" w:type="dxa"/>
            <w:tcBorders>
              <w:top w:val="single" w:sz="4" w:space="0" w:color="000000"/>
              <w:bottom w:val="single" w:sz="4" w:space="0" w:color="000000"/>
            </w:tcBorders>
            <w:vAlign w:val="bottom"/>
          </w:tcPr>
          <w:p>
            <w:pPr>
              <w:pStyle w:val="Normal"/>
              <w:rPr>
                <w:rFonts w:ascii="Times New Roman" w:hAnsi="Times New Roman" w:eastAsia="Times New Roman" w:cs="Times New Roman"/>
                <w:lang w:eastAsia="it-IT"/>
              </w:rPr>
            </w:pPr>
            <w:r>
              <w:rPr>
                <w:rFonts w:eastAsia="Times New Roman" w:cs="Times New Roman" w:ascii="Times New Roman" w:hAnsi="Times New Roman"/>
                <w:lang w:eastAsia="it-IT"/>
              </w:rPr>
            </w:r>
          </w:p>
        </w:tc>
        <w:tc>
          <w:tcPr>
            <w:tcW w:w="1408" w:type="dxa"/>
            <w:tcBorders>
              <w:top w:val="single" w:sz="4" w:space="0" w:color="000000"/>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Frequenza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assoluta</w:t>
            </w:r>
          </w:p>
        </w:tc>
        <w:tc>
          <w:tcPr>
            <w:tcW w:w="1518" w:type="dxa"/>
            <w:tcBorders>
              <w:top w:val="single" w:sz="4" w:space="0" w:color="000000"/>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Frequenza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relativa (%)</w:t>
            </w:r>
          </w:p>
        </w:tc>
        <w:tc>
          <w:tcPr>
            <w:tcW w:w="1613" w:type="dxa"/>
            <w:tcBorders>
              <w:top w:val="single" w:sz="4" w:space="0" w:color="000000"/>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Tassi</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100 mila ab.</w:t>
            </w:r>
          </w:p>
        </w:tc>
        <w:tc>
          <w:tcPr>
            <w:tcW w:w="1470" w:type="dxa"/>
            <w:tcBorders>
              <w:top w:val="single" w:sz="4" w:space="0" w:color="000000"/>
              <w:bottom w:val="single" w:sz="4" w:space="0" w:color="000000"/>
            </w:tcBorders>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Tendenza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2008/2023</w:t>
            </w:r>
          </w:p>
        </w:tc>
        <w:tc>
          <w:tcPr>
            <w:tcW w:w="1466" w:type="dxa"/>
            <w:tcBorders>
              <w:top w:val="single" w:sz="4" w:space="0" w:color="000000"/>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Tendenza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2022/2023</w:t>
            </w:r>
          </w:p>
        </w:tc>
      </w:tr>
      <w:tr>
        <w:trPr>
          <w:trHeight w:val="204" w:hRule="atLeast"/>
        </w:trPr>
        <w:tc>
          <w:tcPr>
            <w:tcW w:w="2470" w:type="dxa"/>
            <w:tcBorders>
              <w:top w:val="single" w:sz="4" w:space="0" w:color="000000"/>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Piemonte</w:t>
            </w:r>
          </w:p>
        </w:tc>
        <w:tc>
          <w:tcPr>
            <w:tcW w:w="1408"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86.469</w:t>
            </w:r>
          </w:p>
        </w:tc>
        <w:tc>
          <w:tcPr>
            <w:tcW w:w="1518"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6,3</w:t>
            </w:r>
          </w:p>
        </w:tc>
        <w:tc>
          <w:tcPr>
            <w:tcW w:w="1613"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124</w:t>
            </w:r>
          </w:p>
        </w:tc>
        <w:tc>
          <w:tcPr>
            <w:tcW w:w="1470" w:type="dxa"/>
            <w:tcBorders>
              <w:top w:val="single" w:sz="4" w:space="0" w:color="000000"/>
            </w:tcBorders>
            <w:vAlign w:val="bottom"/>
          </w:tcPr>
          <w:p>
            <w:pPr>
              <w:pStyle w:val="Normal"/>
              <w:jc w:val="right"/>
              <w:rPr>
                <w:rFonts w:cs="Calibri" w:cstheme="minorHAnsi"/>
                <w:color w:val="000000"/>
                <w:sz w:val="16"/>
                <w:szCs w:val="16"/>
              </w:rPr>
            </w:pPr>
            <w:r>
              <w:rPr>
                <w:rFonts w:cs="Calibri" w:cstheme="minorHAnsi"/>
                <w:color w:val="000000"/>
                <w:sz w:val="16"/>
                <w:szCs w:val="16"/>
              </w:rPr>
              <w:t>767,9</w:t>
            </w:r>
          </w:p>
        </w:tc>
        <w:tc>
          <w:tcPr>
            <w:tcW w:w="1466"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-3,0</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Valle d’Aosta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2.746</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0,2</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136</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2.183,3</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-16,2</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Liguria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34.928</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2,6</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140</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1.168,1</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-0,2</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Lombardia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265.574</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19,5</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168</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628,8</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-0,7</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Veneto</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102.401</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7,5</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131</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1.039,1</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-6,7</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Trentino-Alto Adige</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18.534</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1,4</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110</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1.734,6</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-13,4</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Friuli-Venezia Giulia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22.213</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1,6</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114</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708,7</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-7,7</w:t>
            </w:r>
          </w:p>
        </w:tc>
      </w:tr>
      <w:tr>
        <w:trPr>
          <w:trHeight w:val="204" w:hRule="atLeast"/>
        </w:trPr>
        <w:tc>
          <w:tcPr>
            <w:tcW w:w="2470" w:type="dxa"/>
            <w:tcBorders/>
            <w:vAlign w:val="center"/>
          </w:tcPr>
          <w:p>
            <w:pPr>
              <w:pStyle w:val="Normal"/>
              <w:rPr>
                <w:rFonts w:eastAsia="Times New Roman" w:cs="Calibri" w:cstheme="minorHAnsi"/>
                <w:color w:val="FF0000"/>
                <w:sz w:val="16"/>
                <w:szCs w:val="16"/>
                <w:lang w:eastAsia="it-IT"/>
              </w:rPr>
            </w:pPr>
            <w:r>
              <w:rPr>
                <w:rFonts w:cs="Calibri" w:cstheme="minorHAnsi"/>
                <w:color w:val="FF0000"/>
                <w:sz w:val="16"/>
                <w:szCs w:val="16"/>
              </w:rPr>
              <w:t>Emilia-Romagna</w:t>
            </w:r>
          </w:p>
        </w:tc>
        <w:tc>
          <w:tcPr>
            <w:tcW w:w="1408"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94.981</w:t>
            </w:r>
          </w:p>
        </w:tc>
        <w:tc>
          <w:tcPr>
            <w:tcW w:w="1518"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7,0</w:t>
            </w:r>
          </w:p>
        </w:tc>
        <w:tc>
          <w:tcPr>
            <w:tcW w:w="1613"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135</w:t>
            </w:r>
          </w:p>
        </w:tc>
        <w:tc>
          <w:tcPr>
            <w:tcW w:w="1470" w:type="dxa"/>
            <w:tcBorders/>
            <w:vAlign w:val="bottom"/>
          </w:tcPr>
          <w:p>
            <w:pPr>
              <w:pStyle w:val="Normal"/>
              <w:jc w:val="right"/>
              <w:rPr>
                <w:rFonts w:cs="Calibri" w:cstheme="minorHAnsi"/>
                <w:color w:val="FF0000"/>
                <w:sz w:val="16"/>
                <w:szCs w:val="16"/>
              </w:rPr>
            </w:pPr>
            <w:r>
              <w:rPr>
                <w:rFonts w:cs="Calibri" w:cstheme="minorHAnsi"/>
                <w:color w:val="FF0000"/>
                <w:sz w:val="16"/>
                <w:szCs w:val="16"/>
              </w:rPr>
              <w:t>897,4</w:t>
            </w:r>
          </w:p>
        </w:tc>
        <w:tc>
          <w:tcPr>
            <w:tcW w:w="1466"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3,8</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Toscana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86.134</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6,3</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145</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918,5</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-3,6</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Marche</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33.381</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2,4</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136</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1.264,0</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-0,9</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Umbria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12.343</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0,9</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88</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1.041,0</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-1,4</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Lazio</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159.318</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11,7</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176</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693,6</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-17,6</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Campania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156.137</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11,5</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170</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1.083,3</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-13,1</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Abruzzo</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19.852</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1,5</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95</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644,3</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-19,3</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Molise</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5.146</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0,4</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105</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951,3</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-32,0</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Puglia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69.666</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5,1</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108</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1.005,4</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-21,7</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Basilicata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8.456</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0,6</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93</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1.173,1</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10,3</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Calabria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36.650</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2,7</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119</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724,7</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-4,6</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Sicilia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77.297</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5,7</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97</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1.500,0</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-3,0</w:t>
            </w:r>
          </w:p>
        </w:tc>
      </w:tr>
      <w:tr>
        <w:trPr>
          <w:trHeight w:val="204" w:hRule="atLeast"/>
        </w:trPr>
        <w:tc>
          <w:tcPr>
            <w:tcW w:w="2470" w:type="dxa"/>
            <w:tcBorders/>
            <w:vAlign w:val="center"/>
          </w:tcPr>
          <w:p>
            <w:pPr>
              <w:pStyle w:val="Normal"/>
              <w:rPr>
                <w:rFonts w:eastAsia="Times New Roman" w:cs="Calibri" w:cstheme="minorHAnsi"/>
                <w:color w:val="000000"/>
                <w:sz w:val="16"/>
                <w:szCs w:val="16"/>
                <w:lang w:eastAsia="it-IT"/>
              </w:rPr>
            </w:pPr>
            <w:r>
              <w:rPr>
                <w:rFonts w:cs="Calibri" w:cstheme="minorHAnsi"/>
                <w:color w:val="000000"/>
                <w:sz w:val="16"/>
                <w:szCs w:val="16"/>
              </w:rPr>
              <w:t>Sardegna</w:t>
            </w:r>
          </w:p>
        </w:tc>
        <w:tc>
          <w:tcPr>
            <w:tcW w:w="140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19.436</w:t>
            </w:r>
          </w:p>
        </w:tc>
        <w:tc>
          <w:tcPr>
            <w:tcW w:w="1518"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1,4</w:t>
            </w:r>
          </w:p>
        </w:tc>
        <w:tc>
          <w:tcPr>
            <w:tcW w:w="1613"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74</w:t>
            </w:r>
          </w:p>
        </w:tc>
        <w:tc>
          <w:tcPr>
            <w:tcW w:w="1470" w:type="dxa"/>
            <w:tcBorders/>
            <w:vAlign w:val="bottom"/>
          </w:tcPr>
          <w:p>
            <w:pPr>
              <w:pStyle w:val="Normal"/>
              <w:jc w:val="right"/>
              <w:rPr>
                <w:rFonts w:cs="Calibri" w:cstheme="minorHAnsi"/>
                <w:color w:val="000000"/>
                <w:sz w:val="16"/>
                <w:szCs w:val="16"/>
              </w:rPr>
            </w:pPr>
            <w:r>
              <w:rPr>
                <w:rFonts w:cs="Calibri" w:cstheme="minorHAnsi"/>
                <w:color w:val="000000"/>
                <w:sz w:val="16"/>
                <w:szCs w:val="16"/>
              </w:rPr>
              <w:t>1.119,8</w:t>
            </w:r>
          </w:p>
        </w:tc>
        <w:tc>
          <w:tcPr>
            <w:tcW w:w="1466" w:type="dxa"/>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-6,3</w:t>
            </w:r>
          </w:p>
        </w:tc>
      </w:tr>
      <w:tr>
        <w:trPr>
          <w:trHeight w:val="204" w:hRule="atLeast"/>
        </w:trPr>
        <w:tc>
          <w:tcPr>
            <w:tcW w:w="2470" w:type="dxa"/>
            <w:tcBorders>
              <w:bottom w:val="single" w:sz="4" w:space="0" w:color="000000"/>
            </w:tcBorders>
            <w:vAlign w:val="center"/>
          </w:tcPr>
          <w:p>
            <w:pPr>
              <w:pStyle w:val="Normal"/>
              <w:rPr>
                <w:rFonts w:eastAsia="Times New Roman" w:cs="Calibri" w:cstheme="minorHAnsi"/>
                <w:b/>
                <w:bCs/>
                <w:color w:val="000000"/>
                <w:sz w:val="16"/>
                <w:szCs w:val="16"/>
                <w:lang w:eastAsia="it-IT"/>
              </w:rPr>
            </w:pPr>
            <w:r>
              <w:rPr>
                <w:rFonts w:cs="Calibri" w:cstheme="minorHAnsi"/>
                <w:b/>
                <w:bCs/>
                <w:color w:val="000000"/>
                <w:sz w:val="16"/>
                <w:szCs w:val="16"/>
              </w:rPr>
              <w:t>Italia</w:t>
            </w:r>
          </w:p>
        </w:tc>
        <w:tc>
          <w:tcPr>
            <w:tcW w:w="1408" w:type="dxa"/>
            <w:tcBorders>
              <w:bottom w:val="single" w:sz="4" w:space="0" w:color="000000"/>
            </w:tcBorders>
            <w:vAlign w:val="bottom"/>
          </w:tcPr>
          <w:p>
            <w:pPr>
              <w:pStyle w:val="Normal"/>
              <w:jc w:val="right"/>
              <w:rPr>
                <w:rFonts w:eastAsia="Times New Roman" w:cs="Calibri" w:cstheme="minorHAnsi"/>
                <w:b/>
                <w:bCs/>
                <w:color w:val="000000"/>
                <w:sz w:val="16"/>
                <w:szCs w:val="16"/>
                <w:lang w:eastAsia="it-IT"/>
              </w:rPr>
            </w:pPr>
            <w:r>
              <w:rPr>
                <w:rFonts w:cs="Calibri" w:cstheme="minorHAnsi"/>
                <w:b/>
                <w:bCs/>
                <w:color w:val="000000"/>
                <w:sz w:val="16"/>
                <w:szCs w:val="16"/>
              </w:rPr>
              <w:t>1.362.854</w:t>
            </w:r>
          </w:p>
        </w:tc>
        <w:tc>
          <w:tcPr>
            <w:tcW w:w="1518" w:type="dxa"/>
            <w:tcBorders>
              <w:bottom w:val="single" w:sz="4" w:space="0" w:color="000000"/>
            </w:tcBorders>
            <w:vAlign w:val="bottom"/>
          </w:tcPr>
          <w:p>
            <w:pPr>
              <w:pStyle w:val="Normal"/>
              <w:jc w:val="right"/>
              <w:rPr>
                <w:rFonts w:eastAsia="Times New Roman" w:cs="Calibri" w:cstheme="minorHAnsi"/>
                <w:b/>
                <w:bCs/>
                <w:color w:val="000000"/>
                <w:sz w:val="16"/>
                <w:szCs w:val="16"/>
                <w:lang w:eastAsia="it-IT"/>
              </w:rPr>
            </w:pPr>
            <w:r>
              <w:rPr>
                <w:rFonts w:cs="Calibri" w:cstheme="minorHAnsi"/>
                <w:b/>
                <w:bCs/>
                <w:color w:val="000000"/>
                <w:sz w:val="16"/>
                <w:szCs w:val="16"/>
              </w:rPr>
              <w:t>100,0</w:t>
            </w:r>
          </w:p>
        </w:tc>
        <w:tc>
          <w:tcPr>
            <w:tcW w:w="1613" w:type="dxa"/>
            <w:tcBorders>
              <w:bottom w:val="single" w:sz="4" w:space="0" w:color="000000"/>
            </w:tcBorders>
            <w:vAlign w:val="bottom"/>
          </w:tcPr>
          <w:p>
            <w:pPr>
              <w:pStyle w:val="Normal"/>
              <w:jc w:val="right"/>
              <w:rPr>
                <w:rFonts w:eastAsia="Times New Roman" w:cs="Calibri" w:cstheme="minorHAnsi"/>
                <w:b/>
                <w:bCs/>
                <w:color w:val="000000"/>
                <w:sz w:val="16"/>
                <w:szCs w:val="16"/>
                <w:lang w:eastAsia="it-IT"/>
              </w:rPr>
            </w:pPr>
            <w:r>
              <w:rPr>
                <w:rFonts w:cs="Calibri" w:cstheme="minorHAnsi"/>
                <w:b/>
                <w:bCs/>
                <w:color w:val="000000"/>
                <w:sz w:val="16"/>
                <w:szCs w:val="16"/>
              </w:rPr>
              <w:t>143</w:t>
            </w:r>
          </w:p>
        </w:tc>
        <w:tc>
          <w:tcPr>
            <w:tcW w:w="1470" w:type="dxa"/>
            <w:tcBorders>
              <w:bottom w:val="single" w:sz="4" w:space="0" w:color="000000"/>
            </w:tcBorders>
            <w:vAlign w:val="bottom"/>
          </w:tcPr>
          <w:p>
            <w:pPr>
              <w:pStyle w:val="Normal"/>
              <w:jc w:val="right"/>
              <w:rPr>
                <w:rFonts w:cs="Calibri" w:cstheme="minorHAnsi"/>
                <w:b/>
                <w:bCs/>
                <w:color w:val="000000"/>
                <w:sz w:val="16"/>
                <w:szCs w:val="16"/>
              </w:rPr>
            </w:pPr>
            <w:r>
              <w:rPr>
                <w:rFonts w:cs="Calibri" w:cstheme="minorHAnsi"/>
                <w:b/>
                <w:bCs/>
                <w:color w:val="000000"/>
                <w:sz w:val="16"/>
                <w:szCs w:val="16"/>
              </w:rPr>
              <w:t>969,1</w:t>
            </w:r>
          </w:p>
        </w:tc>
        <w:tc>
          <w:tcPr>
            <w:tcW w:w="1466" w:type="dxa"/>
            <w:tcBorders>
              <w:bottom w:val="single" w:sz="4" w:space="0" w:color="000000"/>
            </w:tcBorders>
            <w:vAlign w:val="bottom"/>
          </w:tcPr>
          <w:p>
            <w:pPr>
              <w:pStyle w:val="Normal"/>
              <w:jc w:val="right"/>
              <w:rPr>
                <w:rFonts w:eastAsia="Times New Roman" w:cs="Calibri" w:cstheme="minorHAnsi"/>
                <w:b/>
                <w:bCs/>
                <w:color w:val="000000"/>
                <w:sz w:val="16"/>
                <w:szCs w:val="16"/>
                <w:lang w:eastAsia="it-IT"/>
              </w:rPr>
            </w:pPr>
            <w:r>
              <w:rPr>
                <w:rFonts w:cs="Calibri" w:cstheme="minorHAnsi"/>
                <w:b/>
                <w:bCs/>
                <w:color w:val="000000"/>
                <w:sz w:val="16"/>
                <w:szCs w:val="16"/>
              </w:rPr>
              <w:t>-3,2</w:t>
            </w:r>
          </w:p>
        </w:tc>
      </w:tr>
    </w:tbl>
    <w:p>
      <w:pPr>
        <w:pStyle w:val="Normal"/>
        <w:jc w:val="both"/>
        <w:rPr>
          <w:rFonts w:ascii="Times New Roman" w:hAnsi="Times New Roman" w:cs="Times New Roman"/>
          <w:sz w:val="16"/>
          <w:szCs w:val="16"/>
        </w:rPr>
      </w:pPr>
      <w:r>
        <w:rPr>
          <w:rFonts w:eastAsia="Times New Roman" w:cs="Arial" w:ascii="Arial" w:hAnsi="Arial"/>
          <w:sz w:val="16"/>
          <w:szCs w:val="16"/>
          <w:lang w:eastAsia="it-IT"/>
        </w:rPr>
        <w:t>Fonte: nostra elaborazione su dati UIF, Banca d’Italia.</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Dall’analisi emerge che la distribuzione territoriale delle segnalazioni all’UIF presenta notevoli differenze tra le regioni, in parte riconducibili alle diverse dimensioni economiche e sociali dei territori. Un tratto comune, tuttavia, riguarda la tendenza di lungo periodo: nel corso dei sedici anni considerati, le segnalazioni sono cresciute in tutte le regioni. L’unica eccezione a questa crescita continua si è verificata nel biennio 2022-2023, quando per la prima volta si è osservata una flessione generalizzata. Se si esclude la Basilicata, l’Emilia-Romagnacostituisce l’unica eccezione di rilievo nel panorama nazionale a questo più recente andamento: in regione, le segnalazioni hanno infatti continuato a crescere anche tra il 2022 e il 2023, registrando un aumento di circa quattro punti percentuali (cfr. tabella 6).</w:t>
      </w:r>
    </w:p>
    <w:p>
      <w:pPr>
        <w:pStyle w:val="Normal"/>
        <w:ind w:firstLine="284"/>
        <w:jc w:val="both"/>
        <w:rPr>
          <w:rFonts w:ascii="Arial" w:hAnsi="Arial" w:cs="Arial"/>
          <w:sz w:val="22"/>
          <w:szCs w:val="22"/>
        </w:rPr>
      </w:pPr>
      <w:r>
        <w:rPr>
          <w:rFonts w:cs="Arial" w:ascii="Arial" w:hAnsi="Arial"/>
          <w:sz w:val="22"/>
          <w:szCs w:val="22"/>
        </w:rPr>
        <w:t>Sebbene un aumento costante delle segnalazioni possa inizialmente destare preoccupazione, va sottolineato che si tratta di operazioni sospette la cui effettiva rilevanza deve ancora essere verificata dagli organi competenti. Pertanto, più che un indicatore negativo, la crescita delle segnalazioni in Emilia-Romagna può essere interpretata come conferma della costante esposizione del territorio – caratterizzato da un’economia solida – a possibili tentativi di infiltrazione criminale. Allo stesso tempo, essa testimonia l’attenzione e la vigilanza degli operatori del settore finanziario nella rilevazione e segnalazione dei flussi di denaro sospetti.</w:t>
      </w:r>
    </w:p>
    <w:p>
      <w:pPr>
        <w:pStyle w:val="Normal"/>
        <w:ind w:firstLine="284"/>
        <w:jc w:val="both"/>
        <w:rPr>
          <w:rFonts w:ascii="Arial" w:hAnsi="Arial" w:cs="Arial"/>
          <w:sz w:val="22"/>
          <w:szCs w:val="22"/>
        </w:rPr>
      </w:pPr>
      <w:r>
        <w:rPr>
          <w:rFonts w:cs="Arial" w:ascii="Arial" w:hAnsi="Arial"/>
          <w:sz w:val="22"/>
          <w:szCs w:val="22"/>
        </w:rPr>
        <w:t>I dati delle forze di polizia confermano in parte il quadro delineato, facendo figurare l’Emilia-Romagna tra le prime sette regioni italiane per numero assoluto di reati di riciclaggio, con circa 1.600 denunce, insieme a Campania, Lombardia, Toscana, Lazio, Puglia e Sicilia. Tale rilevanza riflette la complessità e l’importanza economica del tessuto produttivo regionale, confermando la presenza significativa del fenomeno.</w:t>
      </w:r>
    </w:p>
    <w:p>
      <w:pPr>
        <w:pStyle w:val="Normal"/>
        <w:ind w:firstLine="284"/>
        <w:jc w:val="both"/>
        <w:rPr>
          <w:rFonts w:ascii="Arial" w:hAnsi="Arial" w:cs="Arial"/>
          <w:sz w:val="22"/>
          <w:szCs w:val="22"/>
        </w:rPr>
      </w:pPr>
      <w:r>
        <w:rPr>
          <w:rFonts w:cs="Arial" w:ascii="Arial" w:hAnsi="Arial"/>
          <w:sz w:val="22"/>
          <w:szCs w:val="22"/>
        </w:rPr>
        <w:t>All’interno della regione, Modena si distingue come provincia maggiormente colpita: oltre due terzi delle denunce regionali provengono da questo territorio, che presenta anche il tasso di delittuosità più elevato, pari a 4,8 reati ogni 100.000 abitanti, e mostra una tendenza alla crescita. Ravenna presenta anch’essa un tasso superiore alla media regionale, con un incremento delle denunce particolarmente significativo. Al contrario, Ferrara registra il minor numero di denunce e il tasso pro-capite più basso, ma, a differenza di altre province, evidenzia un aumento delle segnalazioni nell’ultimo biennio, così come accade nelle province di Parma e Rimini(v. tabella 7).</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b/>
          <w:bCs/>
          <w:smallCaps/>
          <w:sz w:val="18"/>
          <w:szCs w:val="18"/>
        </w:rPr>
        <w:t>Tabella 7:</w:t>
      </w:r>
    </w:p>
    <w:p>
      <w:pPr>
        <w:pStyle w:val="Normal"/>
        <w:jc w:val="both"/>
        <w:rPr>
          <w:rFonts w:ascii="Times New Roman" w:hAnsi="Times New Roman" w:cs="Times New Roman"/>
          <w:smallCaps/>
          <w:sz w:val="18"/>
          <w:szCs w:val="18"/>
        </w:rPr>
      </w:pPr>
      <w:r>
        <w:rPr>
          <w:rFonts w:cs="Times New Roman" w:ascii="Times New Roman" w:hAnsi="Times New Roman"/>
          <w:smallCaps/>
          <w:sz w:val="18"/>
          <w:szCs w:val="18"/>
        </w:rPr>
        <w:t>Reati di riciclaggio denunciati alle forze di polizia in Italia. Periodo 2008-2023. (numero complessivo dei reati denunciati; indice di variazione medio annuale; tasso medio annuo di delittuosità per 100.000 abitanti).</w:t>
      </w:r>
    </w:p>
    <w:tbl>
      <w:tblPr>
        <w:tblW w:w="5000" w:type="pct"/>
        <w:jc w:val="left"/>
        <w:tblInd w:w="140" w:type="dxa"/>
        <w:tblLayout w:type="fixed"/>
        <w:tblCellMar>
          <w:top w:w="0" w:type="dxa"/>
          <w:left w:w="70" w:type="dxa"/>
          <w:bottom w:w="0" w:type="dxa"/>
          <w:right w:w="70" w:type="dxa"/>
        </w:tblCellMar>
        <w:tblLook w:val="04a0"/>
      </w:tblPr>
      <w:tblGrid>
        <w:gridCol w:w="2318"/>
        <w:gridCol w:w="2543"/>
        <w:gridCol w:w="2542"/>
        <w:gridCol w:w="2542"/>
      </w:tblGrid>
      <w:tr>
        <w:trPr>
          <w:trHeight w:val="230" w:hRule="atLeast"/>
          <w:cantSplit w:val="true"/>
        </w:trPr>
        <w:tc>
          <w:tcPr>
            <w:tcW w:w="2318" w:type="dxa"/>
            <w:tcBorders>
              <w:top w:val="single" w:sz="4" w:space="0" w:color="000000"/>
              <w:bottom w:val="single" w:sz="4" w:space="0" w:color="000000"/>
            </w:tcBorders>
            <w:vAlign w:val="bottom"/>
          </w:tcPr>
          <w:p>
            <w:pPr>
              <w:pStyle w:val="Normal"/>
              <w:rPr>
                <w:rFonts w:eastAsia="Times New Roman" w:cs="Calibri" w:cstheme="minorHAnsi"/>
                <w:b/>
                <w:bCs/>
                <w:sz w:val="16"/>
                <w:szCs w:val="16"/>
                <w:lang w:eastAsia="it-IT"/>
              </w:rPr>
            </w:pPr>
            <w:r>
              <w:rPr>
                <w:rFonts w:eastAsia="Times New Roman" w:cs="Calibri" w:cstheme="minorHAnsi"/>
                <w:b/>
                <w:bCs/>
                <w:sz w:val="16"/>
                <w:szCs w:val="16"/>
                <w:lang w:eastAsia="it-IT"/>
              </w:rPr>
            </w:r>
          </w:p>
        </w:tc>
        <w:tc>
          <w:tcPr>
            <w:tcW w:w="2543" w:type="dxa"/>
            <w:tcBorders>
              <w:top w:val="single" w:sz="4" w:space="0" w:color="000000"/>
              <w:bottom w:val="single" w:sz="4" w:space="0" w:color="000000"/>
            </w:tcBorders>
            <w:vAlign w:val="bottom"/>
          </w:tcPr>
          <w:p>
            <w:pPr>
              <w:pStyle w:val="Normal"/>
              <w:jc w:val="right"/>
              <w:rPr>
                <w:rFonts w:eastAsia="Times New Roman" w:cs="Calibri" w:cstheme="minorHAnsi"/>
                <w:b/>
                <w:bCs/>
                <w:sz w:val="16"/>
                <w:szCs w:val="16"/>
                <w:lang w:eastAsia="it-IT"/>
              </w:rPr>
            </w:pPr>
            <w:r>
              <w:rPr>
                <w:rFonts w:eastAsia="Times New Roman" w:cs="Calibri" w:cstheme="minorHAnsi"/>
                <w:b/>
                <w:bCs/>
                <w:sz w:val="16"/>
                <w:szCs w:val="16"/>
                <w:lang w:eastAsia="it-IT"/>
              </w:rPr>
              <w:t>Totale delitti</w:t>
            </w:r>
          </w:p>
        </w:tc>
        <w:tc>
          <w:tcPr>
            <w:tcW w:w="2542" w:type="dxa"/>
            <w:tcBorders>
              <w:top w:val="single" w:sz="4" w:space="0" w:color="000000"/>
              <w:bottom w:val="single" w:sz="4" w:space="0" w:color="000000"/>
            </w:tcBorders>
            <w:vAlign w:val="bottom"/>
          </w:tcPr>
          <w:p>
            <w:pPr>
              <w:pStyle w:val="Normal"/>
              <w:jc w:val="right"/>
              <w:rPr>
                <w:rFonts w:eastAsia="Times New Roman" w:cs="Calibri" w:cstheme="minorHAnsi"/>
                <w:b/>
                <w:bCs/>
                <w:sz w:val="16"/>
                <w:szCs w:val="16"/>
                <w:lang w:eastAsia="it-IT"/>
              </w:rPr>
            </w:pPr>
            <w:r>
              <w:rPr>
                <w:rFonts w:eastAsia="Times New Roman" w:cs="Calibri" w:cstheme="minorHAnsi"/>
                <w:b/>
                <w:bCs/>
                <w:sz w:val="16"/>
                <w:szCs w:val="16"/>
                <w:lang w:eastAsia="it-IT"/>
              </w:rPr>
              <w:t>Indice di variazione</w:t>
            </w:r>
          </w:p>
        </w:tc>
        <w:tc>
          <w:tcPr>
            <w:tcW w:w="2542" w:type="dxa"/>
            <w:tcBorders>
              <w:top w:val="single" w:sz="4" w:space="0" w:color="000000"/>
              <w:bottom w:val="single" w:sz="4" w:space="0" w:color="000000"/>
            </w:tcBorders>
            <w:vAlign w:val="bottom"/>
          </w:tcPr>
          <w:p>
            <w:pPr>
              <w:pStyle w:val="Normal"/>
              <w:jc w:val="right"/>
              <w:rPr>
                <w:rFonts w:eastAsia="Times New Roman" w:cs="Calibri" w:cstheme="minorHAnsi"/>
                <w:b/>
                <w:bCs/>
                <w:sz w:val="16"/>
                <w:szCs w:val="16"/>
                <w:lang w:eastAsia="it-IT"/>
              </w:rPr>
            </w:pPr>
            <w:r>
              <w:rPr>
                <w:rFonts w:eastAsia="Times New Roman" w:cs="Calibri" w:cstheme="minorHAnsi"/>
                <w:b/>
                <w:bCs/>
                <w:sz w:val="16"/>
                <w:szCs w:val="16"/>
                <w:lang w:eastAsia="it-IT"/>
              </w:rPr>
              <w:t>Tasso di delittuosità</w:t>
            </w:r>
          </w:p>
        </w:tc>
      </w:tr>
      <w:tr>
        <w:trPr>
          <w:trHeight w:val="230" w:hRule="atLeast"/>
        </w:trPr>
        <w:tc>
          <w:tcPr>
            <w:tcW w:w="2318" w:type="dxa"/>
            <w:tcBorders>
              <w:top w:val="single" w:sz="4" w:space="0" w:color="000000"/>
            </w:tcBorders>
            <w:vAlign w:val="center"/>
          </w:tcPr>
          <w:p>
            <w:pPr>
              <w:pStyle w:val="Normal"/>
              <w:rPr>
                <w:rFonts w:eastAsia="Times New Roman" w:cs="Calibri" w:cstheme="minorHAnsi"/>
                <w:sz w:val="16"/>
                <w:szCs w:val="16"/>
                <w:lang w:eastAsia="it-IT"/>
              </w:rPr>
            </w:pPr>
            <w:r>
              <w:rPr>
                <w:rFonts w:ascii="Aptos" w:hAnsi="Aptos"/>
                <w:color w:val="000000"/>
                <w:sz w:val="16"/>
                <w:szCs w:val="16"/>
              </w:rPr>
              <w:t>Italia</w:t>
            </w:r>
          </w:p>
        </w:tc>
        <w:tc>
          <w:tcPr>
            <w:tcW w:w="2543" w:type="dxa"/>
            <w:tcBorders>
              <w:top w:val="single" w:sz="4" w:space="0" w:color="000000"/>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25.218</w:t>
            </w:r>
          </w:p>
        </w:tc>
        <w:tc>
          <w:tcPr>
            <w:tcW w:w="2542" w:type="dxa"/>
            <w:tcBorders>
              <w:top w:val="single" w:sz="4" w:space="0" w:color="000000"/>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-0,1</w:t>
            </w:r>
          </w:p>
        </w:tc>
        <w:tc>
          <w:tcPr>
            <w:tcW w:w="2542" w:type="dxa"/>
            <w:tcBorders>
              <w:top w:val="single" w:sz="4" w:space="0" w:color="000000"/>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Nord-est</w:t>
            </w:r>
          </w:p>
        </w:tc>
        <w:tc>
          <w:tcPr>
            <w:tcW w:w="2543"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3.842</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0,2</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Emilia-Romagna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1.586</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-1,0</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eastAsia="Times New Roman" w:cs="Calibri" w:cstheme="minorHAnsi"/>
                <w:sz w:val="16"/>
                <w:szCs w:val="16"/>
                <w:lang w:eastAsia="it-IT"/>
              </w:rPr>
            </w:r>
          </w:p>
        </w:tc>
        <w:tc>
          <w:tcPr>
            <w:tcW w:w="2543"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2542"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c>
          <w:tcPr>
            <w:tcW w:w="2542" w:type="dxa"/>
            <w:tcBorders/>
            <w:vAlign w:val="bottom"/>
          </w:tcPr>
          <w:p>
            <w:pPr>
              <w:pStyle w:val="Normal"/>
              <w:jc w:val="right"/>
              <w:rPr>
                <w:rFonts w:eastAsia="Times New Roman" w:cs="Calibri" w:cstheme="minorHAnsi"/>
                <w:sz w:val="16"/>
                <w:szCs w:val="16"/>
                <w:lang w:eastAsia="it-IT"/>
              </w:rPr>
            </w:pPr>
            <w:r>
              <w:rPr>
                <w:rFonts w:eastAsia="Times New Roman" w:cs="Calibri" w:cstheme="minorHAnsi"/>
                <w:sz w:val="16"/>
                <w:szCs w:val="16"/>
                <w:lang w:eastAsia="it-IT"/>
              </w:rPr>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Piacenza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75</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-11,3</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Parma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110</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3,8</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Reggio nell'Emilia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125</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-1,2</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1</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Modena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535</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1,5</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5</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Bologna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290</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-2,9</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2</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Ferrara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72</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3,8</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1</w:t>
            </w:r>
          </w:p>
        </w:tc>
      </w:tr>
      <w:tr>
        <w:trPr>
          <w:trHeight w:val="230" w:hRule="atLeast"/>
        </w:trPr>
        <w:tc>
          <w:tcPr>
            <w:tcW w:w="2318" w:type="dxa"/>
            <w:tcBorders/>
            <w:vAlign w:val="center"/>
          </w:tcPr>
          <w:p>
            <w:pPr>
              <w:pStyle w:val="Normal"/>
              <w:rPr>
                <w:rFonts w:eastAsia="Times New Roman" w:cs="Calibri" w:cstheme="minorHAnsi"/>
                <w:sz w:val="16"/>
                <w:szCs w:val="16"/>
                <w:lang w:eastAsia="it-IT"/>
              </w:rPr>
            </w:pPr>
            <w:r>
              <w:rPr>
                <w:rFonts w:ascii="Aptos" w:hAnsi="Aptos"/>
                <w:color w:val="000000"/>
                <w:sz w:val="16"/>
                <w:szCs w:val="16"/>
              </w:rPr>
              <w:t>Ravenna</w:t>
            </w:r>
          </w:p>
        </w:tc>
        <w:tc>
          <w:tcPr>
            <w:tcW w:w="2543" w:type="dxa"/>
            <w:tcBorders/>
            <w:vAlign w:val="bottom"/>
          </w:tcPr>
          <w:p>
            <w:pPr>
              <w:pStyle w:val="Normal"/>
              <w:jc w:val="right"/>
              <w:rPr>
                <w:rFonts w:eastAsia="Times New Roman" w:cs="Calibri" w:cstheme="minorHAnsi"/>
                <w:sz w:val="16"/>
                <w:szCs w:val="16"/>
                <w:lang w:eastAsia="it-IT"/>
              </w:rPr>
            </w:pPr>
            <w:r>
              <w:rPr>
                <w:rFonts w:ascii="Aptos Narrow" w:hAnsi="Aptos Narrow"/>
                <w:color w:val="000000"/>
                <w:sz w:val="16"/>
                <w:szCs w:val="16"/>
              </w:rPr>
              <w:t>163</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7,0</w:t>
            </w:r>
          </w:p>
        </w:tc>
        <w:tc>
          <w:tcPr>
            <w:tcW w:w="2542" w:type="dxa"/>
            <w:tcBorders/>
            <w:vAlign w:val="center"/>
          </w:tcPr>
          <w:p>
            <w:pPr>
              <w:pStyle w:val="Normal"/>
              <w:jc w:val="right"/>
              <w:rPr>
                <w:rFonts w:eastAsia="Times New Roman" w:cs="Calibri" w:cstheme="minorHAnsi"/>
                <w:sz w:val="16"/>
                <w:szCs w:val="16"/>
                <w:lang w:eastAsia="it-IT"/>
              </w:rPr>
            </w:pPr>
            <w:r>
              <w:rPr>
                <w:rFonts w:ascii="Aptos Narrow" w:hAnsi="Aptos Narrow"/>
                <w:color w:val="000000"/>
                <w:sz w:val="16"/>
                <w:szCs w:val="16"/>
              </w:rPr>
              <w:t>3</w:t>
            </w:r>
          </w:p>
        </w:tc>
      </w:tr>
      <w:tr>
        <w:trPr>
          <w:trHeight w:val="230" w:hRule="atLeast"/>
        </w:trPr>
        <w:tc>
          <w:tcPr>
            <w:tcW w:w="2318" w:type="dxa"/>
            <w:tcBorders/>
            <w:vAlign w:val="center"/>
          </w:tcPr>
          <w:p>
            <w:pPr>
              <w:pStyle w:val="Normal"/>
              <w:rPr>
                <w:rFonts w:eastAsia="Times New Roman" w:cs="Calibri" w:cstheme="minorHAnsi"/>
                <w:b/>
                <w:bCs/>
                <w:sz w:val="16"/>
                <w:szCs w:val="16"/>
                <w:lang w:eastAsia="it-IT"/>
              </w:rPr>
            </w:pPr>
            <w:r>
              <w:rPr>
                <w:rFonts w:ascii="Aptos" w:hAnsi="Aptos"/>
                <w:color w:val="000000"/>
                <w:sz w:val="16"/>
                <w:szCs w:val="16"/>
              </w:rPr>
              <w:t>Forlì-Cesena</w:t>
            </w:r>
          </w:p>
        </w:tc>
        <w:tc>
          <w:tcPr>
            <w:tcW w:w="2543" w:type="dxa"/>
            <w:tcBorders/>
            <w:vAlign w:val="bottom"/>
          </w:tcPr>
          <w:p>
            <w:pPr>
              <w:pStyle w:val="Normal"/>
              <w:jc w:val="right"/>
              <w:rPr>
                <w:rFonts w:ascii="Aptos Narrow" w:hAnsi="Aptos Narrow"/>
                <w:b/>
                <w:bCs/>
                <w:color w:val="000000"/>
                <w:sz w:val="16"/>
                <w:szCs w:val="16"/>
              </w:rPr>
            </w:pPr>
            <w:r>
              <w:rPr>
                <w:rFonts w:ascii="Aptos Narrow" w:hAnsi="Aptos Narrow"/>
                <w:color w:val="000000"/>
                <w:sz w:val="16"/>
                <w:szCs w:val="16"/>
              </w:rPr>
              <w:t>89</w:t>
            </w:r>
          </w:p>
        </w:tc>
        <w:tc>
          <w:tcPr>
            <w:tcW w:w="2542" w:type="dxa"/>
            <w:tcBorders/>
            <w:vAlign w:val="center"/>
          </w:tcPr>
          <w:p>
            <w:pPr>
              <w:pStyle w:val="Normal"/>
              <w:jc w:val="right"/>
              <w:rPr>
                <w:rFonts w:eastAsia="Times New Roman" w:cs="Calibri" w:cstheme="minorHAnsi"/>
                <w:b/>
                <w:bCs/>
                <w:sz w:val="16"/>
                <w:szCs w:val="16"/>
                <w:lang w:eastAsia="it-IT"/>
              </w:rPr>
            </w:pPr>
            <w:r>
              <w:rPr>
                <w:rFonts w:ascii="Aptos Narrow" w:hAnsi="Aptos Narrow"/>
                <w:color w:val="000000"/>
                <w:sz w:val="16"/>
                <w:szCs w:val="16"/>
              </w:rPr>
              <w:t>-8,8</w:t>
            </w:r>
          </w:p>
        </w:tc>
        <w:tc>
          <w:tcPr>
            <w:tcW w:w="2542" w:type="dxa"/>
            <w:tcBorders/>
            <w:vAlign w:val="center"/>
          </w:tcPr>
          <w:p>
            <w:pPr>
              <w:pStyle w:val="Normal"/>
              <w:jc w:val="right"/>
              <w:rPr>
                <w:rFonts w:eastAsia="Times New Roman" w:cs="Calibri" w:cstheme="minorHAnsi"/>
                <w:b/>
                <w:bCs/>
                <w:sz w:val="16"/>
                <w:szCs w:val="16"/>
                <w:lang w:eastAsia="it-IT"/>
              </w:rPr>
            </w:pPr>
            <w:r>
              <w:rPr>
                <w:rFonts w:ascii="Aptos Narrow" w:hAnsi="Aptos Narrow"/>
                <w:color w:val="000000"/>
                <w:sz w:val="16"/>
                <w:szCs w:val="16"/>
              </w:rPr>
              <w:t>1</w:t>
            </w:r>
          </w:p>
        </w:tc>
      </w:tr>
      <w:tr>
        <w:trPr>
          <w:trHeight w:val="230" w:hRule="atLeast"/>
        </w:trPr>
        <w:tc>
          <w:tcPr>
            <w:tcW w:w="2318" w:type="dxa"/>
            <w:tcBorders>
              <w:bottom w:val="single" w:sz="4" w:space="0" w:color="000000"/>
            </w:tcBorders>
            <w:vAlign w:val="center"/>
          </w:tcPr>
          <w:p>
            <w:pPr>
              <w:pStyle w:val="Normal"/>
              <w:rPr>
                <w:rFonts w:ascii="Aptos Narrow" w:hAnsi="Aptos Narrow"/>
                <w:b/>
                <w:bCs/>
                <w:color w:val="000000"/>
                <w:sz w:val="16"/>
                <w:szCs w:val="16"/>
              </w:rPr>
            </w:pPr>
            <w:r>
              <w:rPr>
                <w:rFonts w:ascii="Aptos" w:hAnsi="Aptos"/>
                <w:color w:val="000000"/>
                <w:sz w:val="16"/>
                <w:szCs w:val="16"/>
              </w:rPr>
              <w:t>Rimini</w:t>
            </w:r>
          </w:p>
        </w:tc>
        <w:tc>
          <w:tcPr>
            <w:tcW w:w="2543" w:type="dxa"/>
            <w:tcBorders>
              <w:bottom w:val="single" w:sz="4" w:space="0" w:color="000000"/>
            </w:tcBorders>
            <w:vAlign w:val="bottom"/>
          </w:tcPr>
          <w:p>
            <w:pPr>
              <w:pStyle w:val="Normal"/>
              <w:jc w:val="right"/>
              <w:rPr>
                <w:rFonts w:ascii="Aptos Narrow" w:hAnsi="Aptos Narrow"/>
                <w:b/>
                <w:bCs/>
                <w:color w:val="000000"/>
                <w:sz w:val="16"/>
                <w:szCs w:val="16"/>
              </w:rPr>
            </w:pPr>
            <w:r>
              <w:rPr>
                <w:rFonts w:ascii="Aptos Narrow" w:hAnsi="Aptos Narrow"/>
                <w:color w:val="000000"/>
                <w:sz w:val="16"/>
                <w:szCs w:val="16"/>
              </w:rPr>
              <w:t>109</w:t>
            </w:r>
          </w:p>
        </w:tc>
        <w:tc>
          <w:tcPr>
            <w:tcW w:w="2542" w:type="dxa"/>
            <w:tcBorders>
              <w:bottom w:val="single" w:sz="4" w:space="0" w:color="000000"/>
            </w:tcBorders>
            <w:vAlign w:val="center"/>
          </w:tcPr>
          <w:p>
            <w:pPr>
              <w:pStyle w:val="Normal"/>
              <w:jc w:val="right"/>
              <w:rPr>
                <w:rFonts w:ascii="Aptos Narrow" w:hAnsi="Aptos Narrow"/>
                <w:b/>
                <w:bCs/>
                <w:color w:val="000000"/>
                <w:sz w:val="16"/>
                <w:szCs w:val="16"/>
              </w:rPr>
            </w:pPr>
            <w:r>
              <w:rPr>
                <w:rFonts w:ascii="Aptos Narrow" w:hAnsi="Aptos Narrow"/>
                <w:color w:val="000000"/>
                <w:sz w:val="16"/>
                <w:szCs w:val="16"/>
              </w:rPr>
              <w:t>-1,5</w:t>
            </w:r>
          </w:p>
        </w:tc>
        <w:tc>
          <w:tcPr>
            <w:tcW w:w="2542" w:type="dxa"/>
            <w:tcBorders>
              <w:bottom w:val="single" w:sz="4" w:space="0" w:color="000000"/>
            </w:tcBorders>
            <w:vAlign w:val="center"/>
          </w:tcPr>
          <w:p>
            <w:pPr>
              <w:pStyle w:val="Normal"/>
              <w:jc w:val="right"/>
              <w:rPr>
                <w:rFonts w:ascii="Aptos Narrow" w:hAnsi="Aptos Narrow"/>
                <w:b/>
                <w:bCs/>
                <w:color w:val="000000"/>
                <w:sz w:val="16"/>
                <w:szCs w:val="16"/>
              </w:rPr>
            </w:pPr>
            <w:r>
              <w:rPr>
                <w:rFonts w:ascii="Aptos Narrow" w:hAnsi="Aptos Narrow"/>
                <w:color w:val="000000"/>
                <w:sz w:val="16"/>
                <w:szCs w:val="16"/>
              </w:rPr>
              <w:t>2</w:t>
            </w:r>
          </w:p>
        </w:tc>
      </w:tr>
    </w:tbl>
    <w:p>
      <w:pPr>
        <w:pStyle w:val="Normal"/>
        <w:jc w:val="both"/>
        <w:rPr>
          <w:rFonts w:ascii="Arial" w:hAnsi="Arial" w:eastAsia="Times New Roman" w:cs="Arial"/>
          <w:sz w:val="16"/>
          <w:szCs w:val="16"/>
          <w:lang w:eastAsia="it-IT"/>
        </w:rPr>
      </w:pPr>
      <w:r>
        <w:rPr>
          <w:rFonts w:eastAsia="Times New Roman" w:cs="Arial" w:ascii="Arial" w:hAnsi="Arial"/>
          <w:sz w:val="16"/>
          <w:szCs w:val="16"/>
          <w:lang w:eastAsia="it-IT"/>
        </w:rPr>
        <w:t>Fonte: nostra elaborazione su dati del Ministero dell’Interno.</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La discrepanza rilevata tra i dati UIF, che, come si è visto, mostrano un aumento delle operazioni sospette in regione, e le denunce alle forze di polizia, che evidenziano al contrario una diminuzione dei reati di riciclaggio, può essere spiegata considerando la natura e la finalità delle due fonti.</w:t>
      </w:r>
    </w:p>
    <w:p>
      <w:pPr>
        <w:pStyle w:val="Normal"/>
        <w:ind w:firstLine="284"/>
        <w:jc w:val="both"/>
        <w:rPr>
          <w:rFonts w:ascii="Arial" w:hAnsi="Arial" w:cs="Arial"/>
          <w:sz w:val="22"/>
          <w:szCs w:val="22"/>
        </w:rPr>
      </w:pPr>
      <w:r>
        <w:rPr>
          <w:rFonts w:cs="Arial" w:ascii="Arial" w:hAnsi="Arial"/>
          <w:sz w:val="22"/>
          <w:szCs w:val="22"/>
        </w:rPr>
      </w:r>
    </w:p>
    <w:p>
      <w:pPr>
        <w:pStyle w:val="Normal"/>
        <w:ind w:firstLine="284"/>
        <w:jc w:val="both"/>
        <w:rPr>
          <w:rFonts w:ascii="Arial" w:hAnsi="Arial" w:cs="Arial"/>
          <w:sz w:val="22"/>
          <w:szCs w:val="22"/>
        </w:rPr>
      </w:pPr>
      <w:r>
        <w:rPr>
          <w:rFonts w:cs="Arial" w:ascii="Arial" w:hAnsi="Arial"/>
          <w:sz w:val="22"/>
          <w:szCs w:val="22"/>
        </w:rPr>
        <w:t>Le segnalazioni UIF derivano dai controlli finanziari su operazioni ritenute sospette da intermediari, professionisti e operatori economici. Tali segnalazioni rappresentano un momento preliminare di monitoraggio: esse indicano possibili irregolarità che devono ancora essere verificate dalle autorità competenti, senza costituire necessariamente reati accertati. Come è stato detto, l’incremento delle segnalazioni in Emilia-Romagna può dunque riflettere sia una maggiore attenzione degli operatori finanziari, sia un’effettiva esposizione del territorio a flussi finanziari sospetti legati a tentativi di riciclaggio.</w:t>
      </w:r>
    </w:p>
    <w:p>
      <w:pPr>
        <w:pStyle w:val="Normal"/>
        <w:ind w:firstLine="284"/>
        <w:jc w:val="both"/>
        <w:rPr>
          <w:rFonts w:ascii="Arial" w:hAnsi="Arial" w:cs="Arial"/>
          <w:sz w:val="22"/>
          <w:szCs w:val="22"/>
        </w:rPr>
      </w:pPr>
      <w:r>
        <w:rPr>
          <w:rFonts w:cs="Arial" w:ascii="Arial" w:hAnsi="Arial"/>
          <w:sz w:val="22"/>
          <w:szCs w:val="22"/>
        </w:rPr>
        <w:t>Al contrario, i dati delle forze di polizia riguardano reati conclamati, ovvero episodi di riciclaggio accertati e denunciati formalmente. La diminuzione osservata nelle denunce non implica necessariamente una riduzione reale dell’attività criminale, ma può derivare da fattori come la complessità delle indagini, il ritardo tra individuazione delle operazioni sospette e accertamento penale, o la diversa distribuzione territoriale dei casi effettivamente perseguiti.</w:t>
      </w:r>
    </w:p>
    <w:p>
      <w:pPr>
        <w:pStyle w:val="Normal"/>
        <w:ind w:firstLine="284"/>
        <w:jc w:val="both"/>
        <w:rPr>
          <w:rFonts w:ascii="Arial" w:hAnsi="Arial" w:cs="Arial"/>
          <w:sz w:val="22"/>
          <w:szCs w:val="22"/>
        </w:rPr>
      </w:pPr>
      <w:r>
        <w:rPr>
          <w:rFonts w:cs="Arial" w:ascii="Arial" w:hAnsi="Arial"/>
          <w:sz w:val="22"/>
          <w:szCs w:val="22"/>
        </w:rPr>
        <w:t>In questo senso, le due fonti non sono sovrapponibili: le segnalazioni UIF costituiscono un indicatore precoce di rischio, mentre le denunce rappresentano l’esito formale dell’azione repressiva. Entrambi i dati, se interpretati congiuntamente, offrono un quadro più completo della fenomenologia del riciclaggio.</w:t>
      </w:r>
    </w:p>
    <w:p>
      <w:pPr>
        <w:pStyle w:val="Normal"/>
        <w:ind w:firstLine="284"/>
        <w:jc w:val="both"/>
        <w:rPr>
          <w:rFonts w:ascii="Arial" w:hAnsi="Arial" w:cs="Arial"/>
          <w:sz w:val="22"/>
          <w:szCs w:val="22"/>
        </w:rPr>
      </w:pPr>
      <w:r>
        <w:rPr>
          <w:rFonts w:cs="Arial" w:ascii="Arial" w:hAnsi="Arial"/>
          <w:sz w:val="22"/>
          <w:szCs w:val="22"/>
        </w:rPr>
        <w:t>Indipendentemente dalla sua consistenza e andamento, resta comunque fondamentale mantenere un monitoraggio costante del reato di riciclaggio, non solo per la sua rilevanza economica, ma anche perché è ampiamente documentato che le organizzazioni mafiose lo utilizzanocome strumento per infiltrarsi nel territorio, influenzando l’economia legale e i processi di investimento.</w:t>
      </w:r>
    </w:p>
    <w:p>
      <w:pPr>
        <w:pStyle w:val="ListParagraph"/>
        <w:spacing w:before="0" w:after="0"/>
        <w:ind w:left="0"/>
        <w:contextualSpacing/>
        <w:jc w:val="both"/>
        <w:rPr>
          <w:rFonts w:ascii="Arial" w:hAnsi="Arial" w:cs="Arial"/>
          <w:b/>
          <w:bCs/>
          <w:sz w:val="22"/>
          <w:szCs w:val="22"/>
        </w:rPr>
      </w:pPr>
      <w:r>
        <w:rPr>
          <w:rFonts w:cs="Arial" w:ascii="Arial" w:hAnsi="Arial"/>
          <w:b/>
          <w:bCs/>
          <w:sz w:val="22"/>
          <w:szCs w:val="22"/>
        </w:rPr>
      </w:r>
    </w:p>
    <w:p>
      <w:pPr>
        <w:pStyle w:val="ListParagraph"/>
        <w:spacing w:before="0" w:after="0"/>
        <w:ind w:left="0"/>
        <w:contextualSpacing/>
        <w:jc w:val="both"/>
        <w:rPr>
          <w:rFonts w:ascii="Arial" w:hAnsi="Arial" w:cs="Arial"/>
          <w:b/>
          <w:bCs/>
          <w:sz w:val="22"/>
          <w:szCs w:val="22"/>
        </w:rPr>
      </w:pPr>
      <w:r>
        <w:rPr>
          <w:rFonts w:cs="Arial" w:ascii="Arial" w:hAnsi="Arial"/>
          <w:b/>
          <w:bCs/>
          <w:sz w:val="22"/>
          <w:szCs w:val="22"/>
        </w:rPr>
      </w:r>
    </w:p>
    <w:p>
      <w:pPr>
        <w:pStyle w:val="ListParagraph"/>
        <w:spacing w:before="0" w:after="0"/>
        <w:ind w:left="0"/>
        <w:contextualSpacing/>
        <w:jc w:val="both"/>
        <w:rPr>
          <w:rFonts w:ascii="Arial" w:hAnsi="Arial" w:cs="Arial"/>
          <w:sz w:val="22"/>
          <w:szCs w:val="22"/>
        </w:rPr>
      </w:pPr>
      <w:r>
        <w:rPr>
          <w:rFonts w:cs="Arial" w:ascii="Arial" w:hAnsi="Arial"/>
          <w:b/>
          <w:bCs/>
          <w:sz w:val="22"/>
          <w:szCs w:val="22"/>
        </w:rPr>
        <w:t>5. La corruzione: il punto di vista dei cittadini</w:t>
      </w:r>
    </w:p>
    <w:p>
      <w:pPr>
        <w:pStyle w:val="Normal"/>
        <w:ind w:firstLine="284"/>
        <w:jc w:val="both"/>
        <w:rPr>
          <w:rFonts w:ascii="Arial" w:hAnsi="Arial" w:cs="Arial"/>
          <w:sz w:val="22"/>
          <w:szCs w:val="22"/>
        </w:rPr>
      </w:pPr>
      <w:r>
        <w:rPr>
          <w:rFonts w:cs="Arial" w:ascii="Arial" w:hAnsi="Arial"/>
          <w:sz w:val="22"/>
          <w:szCs w:val="22"/>
        </w:rPr>
        <w:t>Come si è visto in una sezione precedente del presente documento, l’incidenza dei reati commessi ai danni della Pubblica amministrazione e denunciati nella nostra regione è più bassa in confronto ad altri contesti territoriali</w:t>
      </w:r>
      <w:r>
        <w:rPr>
          <w:rStyle w:val="FootnoteReference"/>
          <w:rFonts w:cs="Arial" w:ascii="Arial" w:hAnsi="Arial"/>
          <w:sz w:val="22"/>
          <w:szCs w:val="22"/>
        </w:rPr>
        <w:footnoteReference w:id="25"/>
      </w:r>
      <w:r>
        <w:rPr>
          <w:rFonts w:cs="Arial" w:ascii="Arial" w:hAnsi="Arial"/>
          <w:sz w:val="22"/>
          <w:szCs w:val="22"/>
        </w:rPr>
        <w:t>. Tale rilievo trova una parziale conferma nei dati che l’Istat rileva periodicamente con un’indagine di popolazione dedicata alla sicurezza dei cittadini, all’interno della quale è inserito un modulo di domande appositamente dedicato alla corruzione con l’obiettivo di stimare il numero di persone coinvolte in dinamiche corruttive e di tracciare l’immaginario collettivo rispetto a questi tipi di fenomeni</w:t>
      </w:r>
      <w:r>
        <w:rPr>
          <w:rStyle w:val="FootnoteReference"/>
          <w:rFonts w:cs="Arial" w:ascii="Arial" w:hAnsi="Arial"/>
          <w:sz w:val="22"/>
          <w:szCs w:val="22"/>
        </w:rPr>
        <w:footnoteReference w:id="26"/>
      </w:r>
      <w:r>
        <w:rPr>
          <w:rFonts w:cs="Arial" w:ascii="Arial" w:hAnsi="Arial"/>
          <w:sz w:val="22"/>
          <w:szCs w:val="22"/>
        </w:rPr>
        <w:t xml:space="preserve">. </w:t>
      </w:r>
    </w:p>
    <w:p>
      <w:pPr>
        <w:pStyle w:val="Normal"/>
        <w:ind w:firstLine="284"/>
        <w:jc w:val="both"/>
        <w:rPr>
          <w:rFonts w:ascii="Arial" w:hAnsi="Arial" w:cs="Arial"/>
          <w:sz w:val="22"/>
          <w:szCs w:val="22"/>
        </w:rPr>
      </w:pPr>
      <w:r>
        <w:rPr>
          <w:rFonts w:cs="Arial" w:ascii="Arial" w:hAnsi="Arial"/>
          <w:sz w:val="22"/>
          <w:szCs w:val="22"/>
        </w:rPr>
        <w:t xml:space="preserve">Dall’analisi dei principali risultati di queste indagini emerge che, nella nostra regione la corruzione coinvolge generalmente una quota inferiore di cittadini rispetto alla media nazionale. Solo il 7% degli emiliano-romagnoli che si sono rivolti a uffici pubblici dichiara di aver ricevuto richieste di denaro o altre utilità da parte di un dipendente pubblico per ottenere un servizio dovuto, oppure di aver avanzato offerte di questo tipo per agevolarne l’ottenimento. A livello nazionale, tale percentuale si attesta all’8%, con punte significativamente più elevate in regioni come il Lazio e la Puglia. </w:t>
      </w:r>
    </w:p>
    <w:p>
      <w:pPr>
        <w:pStyle w:val="Normal"/>
        <w:ind w:firstLine="284"/>
        <w:jc w:val="both"/>
        <w:rPr>
          <w:rFonts w:ascii="Arial" w:hAnsi="Arial" w:cs="Arial"/>
          <w:sz w:val="22"/>
          <w:szCs w:val="22"/>
        </w:rPr>
      </w:pPr>
      <w:r>
        <w:rPr>
          <w:rFonts w:cs="Arial" w:ascii="Arial" w:hAnsi="Arial"/>
          <w:sz w:val="22"/>
          <w:szCs w:val="22"/>
        </w:rPr>
        <w:t xml:space="preserve">Più evidente appare lo scarto tra la regione e il resto dell’Italia per quanto riguarda la percentuale di persone che, pur non essendo mai state coinvolte direttamente in dinamiche corruttive, hanno amici, colleghi o parenti che avrebbero sperimentato, sia come soggetti attivi che passivi, l’esperienza della corruzione. In questo caso, infatti, la percentuale registrata in Emilia-Romagna è del 10%, mentre nel resto dell’Italia sale al 13% con punte particolarmente elevate ancora nel Lazio e nella Puglia. </w:t>
      </w:r>
    </w:p>
    <w:p>
      <w:pPr>
        <w:pStyle w:val="Normal"/>
        <w:ind w:firstLine="284"/>
        <w:jc w:val="both"/>
        <w:rPr>
          <w:rFonts w:ascii="Arial" w:hAnsi="Arial" w:cs="Arial"/>
          <w:sz w:val="22"/>
          <w:szCs w:val="22"/>
        </w:rPr>
      </w:pPr>
      <w:r>
        <w:rPr>
          <w:rFonts w:cs="Arial" w:ascii="Arial" w:hAnsi="Arial"/>
          <w:sz w:val="22"/>
          <w:szCs w:val="22"/>
        </w:rPr>
        <w:t>Poco diffuso tra i cittadini emiliano romagnoli risulta anche lo scambio del voto con favori, denaro o altre utilità, una pratica, questa, tradizionalmente più diffusa nelle regioni del Sud e nelle Isole, mentre appare più critico il quadro della regione riguardo alla raccomandazione: una pratica, questa, alla quale i suoi cittadini sembrerebbero più esposti rispetto ad altri territori, benché tale pratica, secondo quanto riferito dagli intervistati, riguarderebbe in larga parte il settore privato (ad esempio per ottenere un lavoro o una promozione) e meno per avere dei benefici dal settore pubblico (per esempio un beneficio assistenziale, la cancellazione di una sanzione, essere favorito in cause giudiziarie, ecc.) (v. tabella 8).</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t>Tabella 8:</w:t>
      </w:r>
    </w:p>
    <w:p>
      <w:pPr>
        <w:pStyle w:val="Normal"/>
        <w:jc w:val="both"/>
        <w:rPr>
          <w:rFonts w:ascii="Times New Roman" w:hAnsi="Times New Roman" w:cs="Times New Roman"/>
        </w:rPr>
      </w:pPr>
      <w:r>
        <w:rPr>
          <w:rFonts w:cs="Times New Roman" w:ascii="Times New Roman" w:hAnsi="Times New Roman"/>
          <w:smallCaps/>
          <w:sz w:val="18"/>
          <w:szCs w:val="18"/>
        </w:rPr>
        <w:t>Persone che hanno avuto un’esperienza diretta o indiretta alla corruzione, al voto di scambio e alla raccomandazione per regione. Anno 2016 (per 100 persone tra i 18 e gli 80 anni)</w:t>
      </w:r>
    </w:p>
    <w:tbl>
      <w:tblPr>
        <w:tblW w:w="5000" w:type="pct"/>
        <w:jc w:val="left"/>
        <w:tblInd w:w="140" w:type="dxa"/>
        <w:tblLayout w:type="fixed"/>
        <w:tblCellMar>
          <w:top w:w="0" w:type="dxa"/>
          <w:left w:w="70" w:type="dxa"/>
          <w:bottom w:w="0" w:type="dxa"/>
          <w:right w:w="70" w:type="dxa"/>
        </w:tblCellMar>
        <w:tblLook w:val="04a0"/>
      </w:tblPr>
      <w:tblGrid>
        <w:gridCol w:w="1864"/>
        <w:gridCol w:w="1218"/>
        <w:gridCol w:w="1335"/>
        <w:gridCol w:w="211"/>
        <w:gridCol w:w="1216"/>
        <w:gridCol w:w="1339"/>
        <w:gridCol w:w="207"/>
        <w:gridCol w:w="1224"/>
        <w:gridCol w:w="1331"/>
      </w:tblGrid>
      <w:tr>
        <w:trPr>
          <w:trHeight w:val="204" w:hRule="atLeast"/>
        </w:trPr>
        <w:tc>
          <w:tcPr>
            <w:tcW w:w="1864" w:type="dxa"/>
            <w:tcBorders>
              <w:top w:val="single" w:sz="4" w:space="0" w:color="000000"/>
            </w:tcBorders>
            <w:vAlign w:val="bottom"/>
          </w:tcPr>
          <w:p>
            <w:pPr>
              <w:pStyle w:val="Normal"/>
              <w:rPr>
                <w:rFonts w:eastAsia="Times New Roman" w:cs="Calibri"/>
                <w:b/>
                <w:bCs/>
                <w:color w:val="000000"/>
                <w:sz w:val="16"/>
                <w:szCs w:val="16"/>
                <w:lang w:eastAsia="it-IT"/>
              </w:rPr>
            </w:pPr>
            <w:r>
              <w:rPr>
                <w:rFonts w:eastAsia="Times New Roman" w:cs="Calibri"/>
                <w:b/>
                <w:bCs/>
                <w:color w:val="000000"/>
                <w:sz w:val="16"/>
                <w:szCs w:val="16"/>
                <w:lang w:eastAsia="it-IT"/>
              </w:rPr>
            </w:r>
          </w:p>
        </w:tc>
        <w:tc>
          <w:tcPr>
            <w:tcW w:w="2553" w:type="dxa"/>
            <w:gridSpan w:val="2"/>
            <w:tcBorders>
              <w:top w:val="single" w:sz="4" w:space="0" w:color="000000"/>
              <w:bottom w:val="single" w:sz="4" w:space="0" w:color="000000"/>
            </w:tcBorders>
            <w:vAlign w:val="bottom"/>
          </w:tcPr>
          <w:p>
            <w:pPr>
              <w:pStyle w:val="Normal"/>
              <w:jc w:val="center"/>
              <w:rPr>
                <w:rFonts w:eastAsia="Times New Roman" w:cs="Calibri"/>
                <w:b/>
                <w:bCs/>
                <w:color w:val="000000"/>
                <w:sz w:val="16"/>
                <w:szCs w:val="16"/>
                <w:lang w:eastAsia="it-IT"/>
              </w:rPr>
            </w:pPr>
            <w:r>
              <w:rPr>
                <w:rFonts w:eastAsia="Times New Roman" w:cs="Calibri"/>
                <w:b/>
                <w:bCs/>
                <w:color w:val="000000"/>
                <w:sz w:val="16"/>
                <w:szCs w:val="16"/>
                <w:lang w:eastAsia="it-IT"/>
              </w:rPr>
              <w:t>CORRUZIONE</w:t>
            </w:r>
          </w:p>
        </w:tc>
        <w:tc>
          <w:tcPr>
            <w:tcW w:w="211" w:type="dxa"/>
            <w:tcBorders>
              <w:top w:val="single" w:sz="4" w:space="0" w:color="000000"/>
            </w:tcBorders>
            <w:vAlign w:val="bottom"/>
          </w:tcPr>
          <w:p>
            <w:pPr>
              <w:pStyle w:val="Normal"/>
              <w:rPr>
                <w:rFonts w:eastAsia="Times New Roman" w:cs="Calibri"/>
                <w:b/>
                <w:bCs/>
                <w:color w:val="000000"/>
                <w:sz w:val="16"/>
                <w:szCs w:val="16"/>
                <w:lang w:eastAsia="it-IT"/>
              </w:rPr>
            </w:pPr>
            <w:r>
              <w:rPr>
                <w:rFonts w:eastAsia="Times New Roman" w:cs="Calibri"/>
                <w:b/>
                <w:bCs/>
                <w:color w:val="000000"/>
                <w:sz w:val="16"/>
                <w:szCs w:val="16"/>
                <w:lang w:eastAsia="it-IT"/>
              </w:rPr>
            </w:r>
          </w:p>
        </w:tc>
        <w:tc>
          <w:tcPr>
            <w:tcW w:w="2555" w:type="dxa"/>
            <w:gridSpan w:val="2"/>
            <w:tcBorders>
              <w:top w:val="single" w:sz="4" w:space="0" w:color="000000"/>
              <w:bottom w:val="single" w:sz="4" w:space="0" w:color="000000"/>
            </w:tcBorders>
            <w:vAlign w:val="bottom"/>
          </w:tcPr>
          <w:p>
            <w:pPr>
              <w:pStyle w:val="Normal"/>
              <w:jc w:val="center"/>
              <w:rPr>
                <w:rFonts w:eastAsia="Times New Roman" w:cs="Calibri"/>
                <w:b/>
                <w:bCs/>
                <w:color w:val="000000"/>
                <w:sz w:val="16"/>
                <w:szCs w:val="16"/>
                <w:lang w:eastAsia="it-IT"/>
              </w:rPr>
            </w:pPr>
            <w:r>
              <w:rPr>
                <w:rFonts w:eastAsia="Times New Roman" w:cs="Calibri"/>
                <w:b/>
                <w:bCs/>
                <w:color w:val="000000"/>
                <w:sz w:val="16"/>
                <w:szCs w:val="16"/>
                <w:lang w:eastAsia="it-IT"/>
              </w:rPr>
              <w:t>VOTO DI SCAMBIO</w:t>
            </w:r>
          </w:p>
        </w:tc>
        <w:tc>
          <w:tcPr>
            <w:tcW w:w="207" w:type="dxa"/>
            <w:tcBorders/>
            <w:vAlign w:val="bottom"/>
          </w:tcPr>
          <w:p>
            <w:pPr>
              <w:pStyle w:val="Normal"/>
              <w:jc w:val="center"/>
              <w:rPr>
                <w:rFonts w:eastAsia="Times New Roman" w:cs="Calibri"/>
                <w:b/>
                <w:bCs/>
                <w:color w:val="000000"/>
                <w:sz w:val="16"/>
                <w:szCs w:val="16"/>
                <w:lang w:eastAsia="it-IT"/>
              </w:rPr>
            </w:pPr>
            <w:r>
              <w:rPr>
                <w:rFonts w:eastAsia="Times New Roman" w:cs="Calibri"/>
                <w:b/>
                <w:bCs/>
                <w:color w:val="000000"/>
                <w:sz w:val="16"/>
                <w:szCs w:val="16"/>
                <w:lang w:eastAsia="it-IT"/>
              </w:rPr>
            </w:r>
          </w:p>
        </w:tc>
        <w:tc>
          <w:tcPr>
            <w:tcW w:w="2555" w:type="dxa"/>
            <w:gridSpan w:val="2"/>
            <w:tcBorders>
              <w:top w:val="single" w:sz="4" w:space="0" w:color="000000"/>
              <w:bottom w:val="single" w:sz="4" w:space="0" w:color="000000"/>
            </w:tcBorders>
            <w:vAlign w:val="bottom"/>
          </w:tcPr>
          <w:p>
            <w:pPr>
              <w:pStyle w:val="Normal"/>
              <w:jc w:val="center"/>
              <w:rPr>
                <w:rFonts w:eastAsia="Times New Roman" w:cs="Calibri"/>
                <w:b/>
                <w:bCs/>
                <w:color w:val="000000"/>
                <w:sz w:val="16"/>
                <w:szCs w:val="16"/>
                <w:lang w:eastAsia="it-IT"/>
              </w:rPr>
            </w:pPr>
            <w:r>
              <w:rPr>
                <w:rFonts w:eastAsia="Times New Roman" w:cs="Calibri"/>
                <w:b/>
                <w:bCs/>
                <w:color w:val="000000"/>
                <w:sz w:val="16"/>
                <w:szCs w:val="16"/>
                <w:lang w:eastAsia="it-IT"/>
              </w:rPr>
              <w:t>RACCOMANDAZIONE</w:t>
            </w:r>
          </w:p>
        </w:tc>
      </w:tr>
      <w:tr>
        <w:trPr>
          <w:trHeight w:val="204" w:hRule="atLeast"/>
        </w:trPr>
        <w:tc>
          <w:tcPr>
            <w:tcW w:w="1864" w:type="dxa"/>
            <w:tcBorders>
              <w:bottom w:val="single" w:sz="4" w:space="0" w:color="000000"/>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r>
          </w:p>
        </w:tc>
        <w:tc>
          <w:tcPr>
            <w:tcW w:w="1218"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Esperienza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diretta</w:t>
            </w:r>
          </w:p>
        </w:tc>
        <w:tc>
          <w:tcPr>
            <w:tcW w:w="1335"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Esperienza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indiretta</w:t>
            </w:r>
          </w:p>
        </w:tc>
        <w:tc>
          <w:tcPr>
            <w:tcW w:w="211"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Esperienza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diretta</w:t>
            </w:r>
          </w:p>
        </w:tc>
        <w:tc>
          <w:tcPr>
            <w:tcW w:w="1339"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Esperienza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indiretta</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Esperienza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diretta</w:t>
            </w:r>
          </w:p>
        </w:tc>
        <w:tc>
          <w:tcPr>
            <w:tcW w:w="1331" w:type="dxa"/>
            <w:tcBorders>
              <w:bottom w:val="single" w:sz="4" w:space="0" w:color="000000"/>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Esperienza</w:t>
            </w:r>
          </w:p>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indiretta</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Piemonte</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3,7</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7,0</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1,0</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3,0</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6,1</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19,6</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Valle d'Aosta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3,4</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7,3</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2,9</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7,4</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5,1</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20,0</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Lombardia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5,9</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8,6</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1,4</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3,5</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7,5</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16,8</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Bolzano</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3,1</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5,6</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0,5</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1,2</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6,4</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14,7</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Trento</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2,0</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7,5</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1,2</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1,8</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6,0</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22,6</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Veneto</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5,8</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7,3</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1,8</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4,2</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10,0</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26,7</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Friuli-Venezia Giulia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4,4</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3,9</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0,5</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1,1</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7,9</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22,2</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Liguria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8,3</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13,6</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1,8</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3,5</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9,5</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24,0</w:t>
            </w:r>
          </w:p>
        </w:tc>
      </w:tr>
      <w:tr>
        <w:trPr>
          <w:trHeight w:val="204" w:hRule="atLeast"/>
        </w:trPr>
        <w:tc>
          <w:tcPr>
            <w:tcW w:w="1864" w:type="dxa"/>
            <w:tcBorders/>
            <w:shd w:color="auto" w:fill="D9D9D9" w:themeFill="background1" w:themeFillShade="d9" w:val="clear"/>
            <w:vAlign w:val="bottom"/>
          </w:tcPr>
          <w:p>
            <w:pPr>
              <w:pStyle w:val="Normal"/>
              <w:rPr>
                <w:rFonts w:eastAsia="Times New Roman" w:cs="Calibri"/>
                <w:b/>
                <w:bCs/>
                <w:color w:val="FF0000"/>
                <w:sz w:val="16"/>
                <w:szCs w:val="16"/>
                <w:lang w:eastAsia="it-IT"/>
              </w:rPr>
            </w:pPr>
            <w:r>
              <w:rPr>
                <w:rFonts w:eastAsia="Times New Roman" w:cs="Calibri"/>
                <w:b/>
                <w:bCs/>
                <w:color w:val="FF0000"/>
                <w:sz w:val="16"/>
                <w:szCs w:val="16"/>
                <w:lang w:eastAsia="it-IT"/>
              </w:rPr>
              <w:t>Emilia-Romagna</w:t>
            </w:r>
          </w:p>
        </w:tc>
        <w:tc>
          <w:tcPr>
            <w:tcW w:w="1218"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t>7,2</w:t>
            </w:r>
          </w:p>
        </w:tc>
        <w:tc>
          <w:tcPr>
            <w:tcW w:w="1335"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t>10,1</w:t>
            </w:r>
          </w:p>
        </w:tc>
        <w:tc>
          <w:tcPr>
            <w:tcW w:w="211"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r>
          </w:p>
        </w:tc>
        <w:tc>
          <w:tcPr>
            <w:tcW w:w="1216"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t>1,5</w:t>
            </w:r>
          </w:p>
        </w:tc>
        <w:tc>
          <w:tcPr>
            <w:tcW w:w="1339"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t>3,5</w:t>
            </w:r>
          </w:p>
        </w:tc>
        <w:tc>
          <w:tcPr>
            <w:tcW w:w="207"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r>
          </w:p>
        </w:tc>
        <w:tc>
          <w:tcPr>
            <w:tcW w:w="1224"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t>13,7</w:t>
            </w:r>
          </w:p>
        </w:tc>
        <w:tc>
          <w:tcPr>
            <w:tcW w:w="1331" w:type="dxa"/>
            <w:tcBorders/>
            <w:shd w:color="auto" w:fill="D9D9D9" w:themeFill="background1" w:themeFillShade="d9" w:val="clear"/>
            <w:vAlign w:val="bottom"/>
          </w:tcPr>
          <w:p>
            <w:pPr>
              <w:pStyle w:val="Normal"/>
              <w:jc w:val="right"/>
              <w:rPr>
                <w:rFonts w:eastAsia="Times New Roman" w:cs="Calibri"/>
                <w:b/>
                <w:bCs/>
                <w:color w:val="FF0000"/>
                <w:sz w:val="16"/>
                <w:szCs w:val="16"/>
                <w:lang w:eastAsia="it-IT"/>
              </w:rPr>
            </w:pPr>
            <w:r>
              <w:rPr>
                <w:rFonts w:eastAsia="Times New Roman" w:cs="Calibri"/>
                <w:b/>
                <w:bCs/>
                <w:color w:val="FF0000"/>
                <w:sz w:val="16"/>
                <w:szCs w:val="16"/>
                <w:lang w:eastAsia="it-IT"/>
              </w:rPr>
              <w:t>29,1</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Toscana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5,5</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7,0</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2,4</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4,9</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9,6</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24,7</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Umbria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6,1</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14,6</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2,5</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5,0</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11,3</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29,6</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Marche</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4,4</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10,2</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2,9</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6,0</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8,6</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24,0</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Lazio</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17,9</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21,5</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3,7</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8,0</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13,0</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33,7</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Abruzzo</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11,5</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17,5</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6,0</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13,9</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5,7</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29,4</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Molise</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9,1</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12,4</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3,9</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7,6</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5,7</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27,1</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Campania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8,9</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14,8</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6,7</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12,8</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5,4</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23,5</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Puglia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11,0</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32,3</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7,1</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23,7</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5,0</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41,8</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Basilicata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9,4</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14,4</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9,7</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18,5</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6,7</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36,2</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Calabria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7,2</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11,5</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5,8</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11,4</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5,7</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16,6</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Sicilia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7,7</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15,4</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9,0</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16,4</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5,9</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22,3</w:t>
            </w:r>
          </w:p>
        </w:tc>
      </w:tr>
      <w:tr>
        <w:trPr>
          <w:trHeight w:val="204" w:hRule="atLeast"/>
        </w:trPr>
        <w:tc>
          <w:tcPr>
            <w:tcW w:w="1864" w:type="dxa"/>
            <w:tcBorders/>
            <w:vAlign w:val="bottom"/>
          </w:tcPr>
          <w:p>
            <w:pPr>
              <w:pStyle w:val="Normal"/>
              <w:rPr>
                <w:rFonts w:eastAsia="Times New Roman" w:cs="Calibri"/>
                <w:color w:val="000000"/>
                <w:sz w:val="16"/>
                <w:szCs w:val="16"/>
                <w:lang w:eastAsia="it-IT"/>
              </w:rPr>
            </w:pPr>
            <w:r>
              <w:rPr>
                <w:rFonts w:eastAsia="Times New Roman" w:cs="Calibri"/>
                <w:color w:val="000000"/>
                <w:sz w:val="16"/>
                <w:szCs w:val="16"/>
                <w:lang w:eastAsia="it-IT"/>
              </w:rPr>
              <w:t>Sardegna</w:t>
            </w:r>
          </w:p>
        </w:tc>
        <w:tc>
          <w:tcPr>
            <w:tcW w:w="1218"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8,4</w:t>
            </w:r>
          </w:p>
        </w:tc>
        <w:tc>
          <w:tcPr>
            <w:tcW w:w="1335"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15,0</w:t>
            </w:r>
          </w:p>
        </w:tc>
        <w:tc>
          <w:tcPr>
            <w:tcW w:w="21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16"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6,8</w:t>
            </w:r>
          </w:p>
        </w:tc>
        <w:tc>
          <w:tcPr>
            <w:tcW w:w="1339"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12,2</w:t>
            </w:r>
          </w:p>
        </w:tc>
        <w:tc>
          <w:tcPr>
            <w:tcW w:w="207"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r>
          </w:p>
        </w:tc>
        <w:tc>
          <w:tcPr>
            <w:tcW w:w="1224"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9,1</w:t>
            </w:r>
          </w:p>
        </w:tc>
        <w:tc>
          <w:tcPr>
            <w:tcW w:w="1331" w:type="dxa"/>
            <w:tcBorders/>
            <w:vAlign w:val="bottom"/>
          </w:tcPr>
          <w:p>
            <w:pPr>
              <w:pStyle w:val="Normal"/>
              <w:jc w:val="right"/>
              <w:rPr>
                <w:rFonts w:eastAsia="Times New Roman" w:cs="Calibri"/>
                <w:color w:val="000000"/>
                <w:sz w:val="16"/>
                <w:szCs w:val="16"/>
                <w:lang w:eastAsia="it-IT"/>
              </w:rPr>
            </w:pPr>
            <w:r>
              <w:rPr>
                <w:rFonts w:eastAsia="Times New Roman" w:cs="Calibri"/>
                <w:color w:val="000000"/>
                <w:sz w:val="16"/>
                <w:szCs w:val="16"/>
                <w:lang w:eastAsia="it-IT"/>
              </w:rPr>
              <w:t>36,6</w:t>
            </w:r>
          </w:p>
        </w:tc>
      </w:tr>
      <w:tr>
        <w:trPr>
          <w:trHeight w:val="204" w:hRule="atLeast"/>
        </w:trPr>
        <w:tc>
          <w:tcPr>
            <w:tcW w:w="1864" w:type="dxa"/>
            <w:tcBorders>
              <w:bottom w:val="single" w:sz="4" w:space="0" w:color="000000"/>
            </w:tcBorders>
            <w:vAlign w:val="bottom"/>
          </w:tcPr>
          <w:p>
            <w:pPr>
              <w:pStyle w:val="Normal"/>
              <w:rPr>
                <w:rFonts w:eastAsia="Times New Roman" w:cs="Calibri"/>
                <w:b/>
                <w:bCs/>
                <w:color w:val="000000"/>
                <w:sz w:val="16"/>
                <w:szCs w:val="16"/>
                <w:lang w:eastAsia="it-IT"/>
              </w:rPr>
            </w:pPr>
            <w:r>
              <w:rPr>
                <w:rFonts w:eastAsia="Times New Roman" w:cs="Calibri"/>
                <w:b/>
                <w:bCs/>
                <w:color w:val="000000"/>
                <w:sz w:val="16"/>
                <w:szCs w:val="16"/>
                <w:lang w:eastAsia="it-IT"/>
              </w:rPr>
              <w:t>ITALIA</w:t>
            </w:r>
          </w:p>
        </w:tc>
        <w:tc>
          <w:tcPr>
            <w:tcW w:w="1218"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t>7,9</w:t>
            </w:r>
          </w:p>
        </w:tc>
        <w:tc>
          <w:tcPr>
            <w:tcW w:w="1335"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t>13,1</w:t>
            </w:r>
          </w:p>
        </w:tc>
        <w:tc>
          <w:tcPr>
            <w:tcW w:w="211"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r>
          </w:p>
        </w:tc>
        <w:tc>
          <w:tcPr>
            <w:tcW w:w="1216"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t>3,7</w:t>
            </w:r>
          </w:p>
        </w:tc>
        <w:tc>
          <w:tcPr>
            <w:tcW w:w="1339"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t>8,3</w:t>
            </w:r>
          </w:p>
        </w:tc>
        <w:tc>
          <w:tcPr>
            <w:tcW w:w="207"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r>
          </w:p>
        </w:tc>
        <w:tc>
          <w:tcPr>
            <w:tcW w:w="1224"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t>8,3</w:t>
            </w:r>
          </w:p>
        </w:tc>
        <w:tc>
          <w:tcPr>
            <w:tcW w:w="1331" w:type="dxa"/>
            <w:tcBorders>
              <w:bottom w:val="single" w:sz="4" w:space="0" w:color="000000"/>
            </w:tcBorders>
            <w:vAlign w:val="bottom"/>
          </w:tcPr>
          <w:p>
            <w:pPr>
              <w:pStyle w:val="Normal"/>
              <w:jc w:val="right"/>
              <w:rPr>
                <w:rFonts w:eastAsia="Times New Roman" w:cs="Calibri"/>
                <w:b/>
                <w:bCs/>
                <w:color w:val="000000"/>
                <w:sz w:val="16"/>
                <w:szCs w:val="16"/>
                <w:lang w:eastAsia="it-IT"/>
              </w:rPr>
            </w:pPr>
            <w:r>
              <w:rPr>
                <w:rFonts w:eastAsia="Times New Roman" w:cs="Calibri"/>
                <w:b/>
                <w:bCs/>
                <w:color w:val="000000"/>
                <w:sz w:val="16"/>
                <w:szCs w:val="16"/>
                <w:lang w:eastAsia="it-IT"/>
              </w:rPr>
              <w:t>25,4</w:t>
            </w:r>
          </w:p>
        </w:tc>
      </w:tr>
    </w:tbl>
    <w:p>
      <w:pPr>
        <w:pStyle w:val="Normal"/>
        <w:jc w:val="both"/>
        <w:rPr>
          <w:rFonts w:ascii="Times New Roman" w:hAnsi="Times New Roman" w:cs="Times New Roman"/>
          <w:sz w:val="16"/>
          <w:szCs w:val="16"/>
        </w:rPr>
      </w:pPr>
      <w:r>
        <w:rPr>
          <w:rFonts w:cs="Times New Roman" w:ascii="Times New Roman" w:hAnsi="Times New Roman"/>
          <w:sz w:val="16"/>
          <w:szCs w:val="16"/>
        </w:rPr>
        <w:t>Fonte: nostra elaborazione su dati Istat, Indagine sulla sicurezza dei cittadini 2015-2016.</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 xml:space="preserve">Considerato nel medio periodo, il fenomeno corruttivo, di per sé contenuto in Emilia-Romagna, come si è appena visto, sembrerebbe avere subito una ulteriore diminuzione nel tempo, considerato che tra il 2016 e il 2022 la quota di cittadini con conoscenti coinvolti in dinamiche corruttive è scesa dal 10 al 7%, seguendo comunque una tendenza comune alla maggior parte delle regioni italiane (v. grafico 2). </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t>Grafico 2:</w:t>
      </w:r>
    </w:p>
    <w:p>
      <w:pPr>
        <w:pStyle w:val="Normal"/>
        <w:jc w:val="both"/>
        <w:rPr>
          <w:rFonts w:ascii="Times New Roman" w:hAnsi="Times New Roman" w:cs="Times New Roman"/>
        </w:rPr>
      </w:pPr>
      <w:r>
        <w:rPr>
          <w:rFonts w:cs="Times New Roman" w:ascii="Times New Roman" w:hAnsi="Times New Roman"/>
          <w:smallCaps/>
          <w:sz w:val="18"/>
          <w:szCs w:val="18"/>
        </w:rPr>
        <w:t>Persone che conoscono qualcuno (amici, parenti, colleghi) a cui è stato richiesto denaro, favori, regali per ottenere agevolazioni o serviziper regione. anni2015-2016 e 2022-2023 (per 100 persone tra i 18 e gli 80 anni)</w:t>
      </w:r>
    </w:p>
    <w:p>
      <w:pPr>
        <w:pStyle w:val="Normal"/>
        <w:jc w:val="both"/>
        <w:rPr>
          <w:rFonts w:ascii="Times New Roman" w:hAnsi="Times New Roman" w:cs="Times New Roman"/>
        </w:rPr>
      </w:pPr>
      <w:r>
        <w:rPr/>
        <w:drawing>
          <wp:inline distT="0" distB="0" distL="0" distR="0">
            <wp:extent cx="5400040" cy="3723005"/>
            <wp:effectExtent l="0" t="0" r="0" b="0"/>
            <wp:docPr id="8"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 descr=""/>
                    <pic:cNvPicPr>
                      <a:picLocks noChangeAspect="1" noChangeArrowheads="1"/>
                    </pic:cNvPicPr>
                  </pic:nvPicPr>
                  <pic:blipFill>
                    <a:blip r:embed="rId11"/>
                    <a:stretch>
                      <a:fillRect/>
                    </a:stretch>
                  </pic:blipFill>
                  <pic:spPr bwMode="auto">
                    <a:xfrm>
                      <a:off x="0" y="0"/>
                      <a:ext cx="5400040" cy="3723005"/>
                    </a:xfrm>
                    <a:prstGeom prst="rect">
                      <a:avLst/>
                    </a:prstGeom>
                  </pic:spPr>
                </pic:pic>
              </a:graphicData>
            </a:graphic>
          </wp:inline>
        </w:drawing>
      </w:r>
    </w:p>
    <w:p>
      <w:pPr>
        <w:pStyle w:val="Normal"/>
        <w:jc w:val="both"/>
        <w:rPr>
          <w:rFonts w:ascii="Times New Roman" w:hAnsi="Times New Roman" w:cs="Times New Roman"/>
          <w:sz w:val="16"/>
          <w:szCs w:val="16"/>
        </w:rPr>
      </w:pPr>
      <w:r>
        <w:rPr>
          <w:rFonts w:cs="Times New Roman" w:ascii="Times New Roman" w:hAnsi="Times New Roman"/>
          <w:sz w:val="16"/>
          <w:szCs w:val="16"/>
        </w:rPr>
        <w:t>Fonte: nostra elaborazione su dati Istat, Indagine sulla sicurezza dei cittadini 2015-2016; 2022-2023</w:t>
      </w:r>
    </w:p>
    <w:p>
      <w:pPr>
        <w:pStyle w:val="Normal"/>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 xml:space="preserve">Risultati incoraggianti per l’Emilia-Romagna, che confermano i rilievi esposti fin qui, arrivano anche dalle opinioni che i cittadini esprimono su alcuni comportamenti propriamente corruttivi o comunque spia o anticipatori della corruzione. </w:t>
      </w:r>
    </w:p>
    <w:p>
      <w:pPr>
        <w:pStyle w:val="Normal"/>
        <w:ind w:firstLine="284"/>
        <w:jc w:val="both"/>
        <w:rPr>
          <w:rFonts w:ascii="Arial" w:hAnsi="Arial" w:cs="Arial"/>
          <w:sz w:val="22"/>
          <w:szCs w:val="22"/>
        </w:rPr>
      </w:pPr>
      <w:r>
        <w:rPr>
          <w:rFonts w:cs="Arial" w:ascii="Arial" w:hAnsi="Arial"/>
          <w:sz w:val="22"/>
          <w:szCs w:val="22"/>
        </w:rPr>
        <w:t>Per la prima volta con l’indagine del 2022 l’Istat ha voluto indagare il grado di accettabilità dei cittadini verso la corruzione, chiedendo a quelli che non ne avevano mai avuto un’esperienza diretta quanto ritenessero accettabili comportamenti quali offrire denaro a un vigile o a un medico per ricevere un servizio, farsi raccomandare da familiari o da amici per essere assunto, cercare di ottenere benefici assistenziali ai quali non si avrebbe diritto, offrire o accettare denaro da parte di un genitore per trovare o dare un lavoro a un figlio, ottenere regali, favori o denaro in cambio del voto alle elezioni. Su questi aspetti emerge ancora una volta come i cittadini dell’Emilia-Romagna siano più severi nel dare un giudizio. Come infatti si può osservare dalla tabella successiva, nella nostra regione solo il 2% dei cittadini ritiene accettabile corrompere un vigile per avere un favore o scambiare il voto con denaro o regali, mentre a livello nazionale la percentuale sale al 6 e al 4,5%. Cercare di ottenere benefici assistenziali ai quali non si avrebbe diritto è tollerato solo dal 4% degli emiliano romagnoli (a livello nazionale tale quota è del 6%), ricevere raccomandazioni per essere assunto dall’8% (15,9% a livello nazionale), accettare denaro da un genitore per dare un unlavoro al proprio figlio dall’11% (20,1% a livello nazionale) (v. tabella 9).</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t>Tabella 9:</w:t>
      </w:r>
    </w:p>
    <w:p>
      <w:pPr>
        <w:pStyle w:val="Normal"/>
        <w:jc w:val="both"/>
        <w:rPr>
          <w:rFonts w:ascii="Times New Roman" w:hAnsi="Times New Roman" w:cs="Times New Roman"/>
        </w:rPr>
      </w:pPr>
      <w:r>
        <w:rPr>
          <w:rFonts w:cs="Times New Roman" w:ascii="Times New Roman" w:hAnsi="Times New Roman"/>
          <w:smallCaps/>
          <w:sz w:val="18"/>
          <w:szCs w:val="18"/>
        </w:rPr>
        <w:t>Persone che ritengono accettabilecomportamenti legati a dinamiche corruttive per regione. anno 2022-2023 (per 100 persone tra i 18 e gli 80 anni)</w:t>
      </w:r>
    </w:p>
    <w:tbl>
      <w:tblPr>
        <w:tblW w:w="5000" w:type="pct"/>
        <w:jc w:val="left"/>
        <w:tblInd w:w="140" w:type="dxa"/>
        <w:tblLayout w:type="fixed"/>
        <w:tblCellMar>
          <w:top w:w="0" w:type="dxa"/>
          <w:left w:w="70" w:type="dxa"/>
          <w:bottom w:w="0" w:type="dxa"/>
          <w:right w:w="70" w:type="dxa"/>
        </w:tblCellMar>
        <w:tblLook w:val="04a0"/>
      </w:tblPr>
      <w:tblGrid>
        <w:gridCol w:w="2088"/>
        <w:gridCol w:w="1571"/>
        <w:gridCol w:w="1572"/>
        <w:gridCol w:w="1571"/>
        <w:gridCol w:w="1573"/>
        <w:gridCol w:w="1570"/>
      </w:tblGrid>
      <w:tr>
        <w:trPr>
          <w:trHeight w:val="944" w:hRule="atLeast"/>
        </w:trPr>
        <w:tc>
          <w:tcPr>
            <w:tcW w:w="2088" w:type="dxa"/>
            <w:tcBorders>
              <w:top w:val="single" w:sz="4" w:space="0" w:color="000000"/>
              <w:bottom w:val="single" w:sz="4" w:space="0" w:color="000000"/>
            </w:tcBorders>
            <w:vAlign w:val="bottom"/>
          </w:tcPr>
          <w:p>
            <w:pPr>
              <w:pStyle w:val="Normal"/>
              <w:rPr>
                <w:rFonts w:eastAsia="Times New Roman" w:cs="Calibri" w:cstheme="minorHAnsi"/>
                <w:color w:val="FF0000"/>
                <w:sz w:val="16"/>
                <w:szCs w:val="16"/>
                <w:lang w:eastAsia="it-IT"/>
              </w:rPr>
            </w:pPr>
            <w:r>
              <w:rPr>
                <w:rFonts w:eastAsia="Times New Roman" w:cs="Calibri" w:cstheme="minorHAnsi"/>
                <w:color w:val="FF0000"/>
                <w:sz w:val="16"/>
                <w:szCs w:val="16"/>
                <w:lang w:eastAsia="it-IT"/>
              </w:rPr>
            </w:r>
          </w:p>
        </w:tc>
        <w:tc>
          <w:tcPr>
            <w:tcW w:w="1571"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Offrire denaro</w:t>
            </w:r>
          </w:p>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a un vigile, un medico…</w:t>
            </w:r>
          </w:p>
        </w:tc>
        <w:tc>
          <w:tcPr>
            <w:tcW w:w="1572"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Farsi raccomandare da familiari o</w:t>
            </w:r>
          </w:p>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amici per essere assunto</w:t>
            </w:r>
          </w:p>
        </w:tc>
        <w:tc>
          <w:tcPr>
            <w:tcW w:w="1571"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Cercare di ottenere benefici assistenziali ai quali non avrebbe</w:t>
            </w:r>
          </w:p>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diritto</w:t>
            </w:r>
          </w:p>
        </w:tc>
        <w:tc>
          <w:tcPr>
            <w:tcW w:w="1573" w:type="dxa"/>
            <w:tcBorders>
              <w:top w:val="single" w:sz="4" w:space="0" w:color="000000"/>
              <w:bottom w:val="single" w:sz="4" w:space="0" w:color="000000"/>
            </w:tcBorders>
          </w:tcPr>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Che un genitore offra o accetti di dare denaro per trovare lavoro a un figlio</w:t>
            </w:r>
          </w:p>
        </w:tc>
        <w:tc>
          <w:tcPr>
            <w:tcW w:w="1570"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Ottenere regali, favori o denaro in cambio del</w:t>
            </w:r>
          </w:p>
          <w:p>
            <w:pPr>
              <w:pStyle w:val="Normal"/>
              <w:jc w:val="right"/>
              <w:rPr>
                <w:rFonts w:eastAsia="Times New Roman" w:cs="Calibri" w:cstheme="minorHAnsi"/>
                <w:color w:val="000000"/>
                <w:sz w:val="16"/>
                <w:szCs w:val="16"/>
                <w:lang w:eastAsia="it-IT"/>
              </w:rPr>
            </w:pPr>
            <w:r>
              <w:rPr>
                <w:rFonts w:eastAsia="Times New Roman" w:cs="Calibri" w:cstheme="minorHAnsi"/>
                <w:color w:val="000000"/>
                <w:sz w:val="16"/>
                <w:szCs w:val="16"/>
                <w:lang w:eastAsia="it-IT"/>
              </w:rPr>
              <w:t>proprio voto alle elezioni</w:t>
            </w:r>
          </w:p>
        </w:tc>
      </w:tr>
      <w:tr>
        <w:trPr>
          <w:trHeight w:val="204" w:hRule="atLeast"/>
        </w:trPr>
        <w:tc>
          <w:tcPr>
            <w:tcW w:w="2088" w:type="dxa"/>
            <w:tcBorders>
              <w:top w:val="single" w:sz="4" w:space="0" w:color="000000"/>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Piemonte</w:t>
            </w:r>
          </w:p>
        </w:tc>
        <w:tc>
          <w:tcPr>
            <w:tcW w:w="1571"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5,7</w:t>
            </w:r>
          </w:p>
        </w:tc>
        <w:tc>
          <w:tcPr>
            <w:tcW w:w="1572"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16,2</w:t>
            </w:r>
          </w:p>
        </w:tc>
        <w:tc>
          <w:tcPr>
            <w:tcW w:w="1571"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7,1</w:t>
            </w:r>
          </w:p>
        </w:tc>
        <w:tc>
          <w:tcPr>
            <w:tcW w:w="1573" w:type="dxa"/>
            <w:tcBorders>
              <w:top w:val="single" w:sz="4" w:space="0" w:color="000000"/>
            </w:tcBorders>
            <w:vAlign w:val="bottom"/>
          </w:tcPr>
          <w:p>
            <w:pPr>
              <w:pStyle w:val="Normal"/>
              <w:jc w:val="right"/>
              <w:rPr>
                <w:rFonts w:cs="Calibri" w:cstheme="minorHAnsi"/>
                <w:color w:val="000000"/>
                <w:sz w:val="16"/>
                <w:szCs w:val="16"/>
              </w:rPr>
            </w:pPr>
            <w:r>
              <w:rPr>
                <w:rFonts w:cs="Calibri" w:cstheme="minorHAnsi"/>
                <w:sz w:val="16"/>
                <w:szCs w:val="16"/>
              </w:rPr>
              <w:t>16,1</w:t>
            </w:r>
          </w:p>
        </w:tc>
        <w:tc>
          <w:tcPr>
            <w:tcW w:w="1570"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4,6</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Valle d'Aosta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0,4</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1,8</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0,6</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3,3</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0,5</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Lombardia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5,0</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18,2</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5,3</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22,4</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4,2</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Trentino A.A.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3,2</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14,9</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3,0</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15,2</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2,1</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Veneto</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4,5</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19,1</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4,4</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22,8</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2,5</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Friuli-Venezia Giulia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1,1</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5,0</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1,6</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6,4</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1,1</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Liguria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2,5</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19,0</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2,8</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21,1</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1,2</w:t>
            </w:r>
          </w:p>
        </w:tc>
      </w:tr>
      <w:tr>
        <w:trPr>
          <w:trHeight w:val="204" w:hRule="atLeast"/>
        </w:trPr>
        <w:tc>
          <w:tcPr>
            <w:tcW w:w="2088" w:type="dxa"/>
            <w:tcBorders/>
            <w:vAlign w:val="bottom"/>
          </w:tcPr>
          <w:p>
            <w:pPr>
              <w:pStyle w:val="Normal"/>
              <w:rPr>
                <w:rFonts w:eastAsia="Times New Roman" w:cs="Calibri" w:cstheme="minorHAnsi"/>
                <w:color w:val="FF0000"/>
                <w:sz w:val="16"/>
                <w:szCs w:val="16"/>
                <w:lang w:eastAsia="it-IT"/>
              </w:rPr>
            </w:pPr>
            <w:r>
              <w:rPr>
                <w:rFonts w:cs="Calibri" w:cstheme="minorHAnsi"/>
                <w:color w:val="FF0000"/>
                <w:sz w:val="16"/>
                <w:szCs w:val="16"/>
              </w:rPr>
              <w:t>Emilia-Romagna</w:t>
            </w:r>
          </w:p>
        </w:tc>
        <w:tc>
          <w:tcPr>
            <w:tcW w:w="1571"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1,9</w:t>
            </w:r>
          </w:p>
        </w:tc>
        <w:tc>
          <w:tcPr>
            <w:tcW w:w="1572"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8,1</w:t>
            </w:r>
          </w:p>
        </w:tc>
        <w:tc>
          <w:tcPr>
            <w:tcW w:w="1571"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3,9</w:t>
            </w:r>
          </w:p>
        </w:tc>
        <w:tc>
          <w:tcPr>
            <w:tcW w:w="1573" w:type="dxa"/>
            <w:tcBorders/>
            <w:vAlign w:val="bottom"/>
          </w:tcPr>
          <w:p>
            <w:pPr>
              <w:pStyle w:val="Normal"/>
              <w:jc w:val="right"/>
              <w:rPr>
                <w:rFonts w:cs="Calibri" w:cstheme="minorHAnsi"/>
                <w:color w:val="FF0000"/>
                <w:sz w:val="16"/>
                <w:szCs w:val="16"/>
              </w:rPr>
            </w:pPr>
            <w:r>
              <w:rPr>
                <w:rFonts w:cs="Calibri" w:cstheme="minorHAnsi"/>
                <w:color w:val="FF0000"/>
                <w:sz w:val="16"/>
                <w:szCs w:val="16"/>
              </w:rPr>
              <w:t>11,2</w:t>
            </w:r>
          </w:p>
        </w:tc>
        <w:tc>
          <w:tcPr>
            <w:tcW w:w="1570"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1,9</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Toscana</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4,5</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9,1</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3,2</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12,3</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3,4</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Umbria</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7,6</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15,9</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10,1</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18,4</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5,5</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Marche</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13,5</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20,1</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15,2</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24,9</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11,2</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Lazio</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15,3</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22,8</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14,5</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25,3</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13,2</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Abruzzo</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4,7</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11,9</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5,9</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15,2</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4,8</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Molise</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3,1</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12,4</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3,5</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21,1</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3,0</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Campania</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6,5</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18,5</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6,6</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27,5</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5,0</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Puglia</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4,6</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15,0</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4,7</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21,3</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2,3</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Basilicata</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2,2</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19,7</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5,2</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27,1</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0,8</w:t>
            </w:r>
          </w:p>
        </w:tc>
      </w:tr>
      <w:tr>
        <w:trPr>
          <w:trHeight w:val="204" w:hRule="atLeast"/>
        </w:trPr>
        <w:tc>
          <w:tcPr>
            <w:tcW w:w="2088" w:type="dxa"/>
            <w:tcBorders/>
            <w:vAlign w:val="bottom"/>
          </w:tcPr>
          <w:p>
            <w:pPr>
              <w:pStyle w:val="Normal"/>
              <w:rPr>
                <w:rFonts w:cs="Calibri" w:cstheme="minorHAnsi"/>
                <w:i/>
                <w:i/>
                <w:iCs/>
                <w:color w:val="000000"/>
                <w:sz w:val="16"/>
                <w:szCs w:val="16"/>
              </w:rPr>
            </w:pPr>
            <w:r>
              <w:rPr>
                <w:rFonts w:cs="Calibri" w:cstheme="minorHAnsi"/>
                <w:sz w:val="16"/>
                <w:szCs w:val="16"/>
              </w:rPr>
              <w:t>Calabria</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2,7</w:t>
            </w:r>
          </w:p>
        </w:tc>
        <w:tc>
          <w:tcPr>
            <w:tcW w:w="1572" w:type="dxa"/>
            <w:tcBorders/>
            <w:vAlign w:val="bottom"/>
          </w:tcPr>
          <w:p>
            <w:pPr>
              <w:pStyle w:val="Normal"/>
              <w:jc w:val="right"/>
              <w:rPr>
                <w:rFonts w:cs="Calibri" w:cstheme="minorHAnsi"/>
                <w:i/>
                <w:i/>
                <w:iCs/>
                <w:color w:val="000000"/>
                <w:sz w:val="16"/>
                <w:szCs w:val="16"/>
              </w:rPr>
            </w:pPr>
            <w:r>
              <w:rPr>
                <w:rFonts w:cs="Calibri" w:cstheme="minorHAnsi"/>
                <w:sz w:val="16"/>
                <w:szCs w:val="16"/>
              </w:rPr>
              <w:t>11,2</w:t>
            </w:r>
          </w:p>
        </w:tc>
        <w:tc>
          <w:tcPr>
            <w:tcW w:w="1571" w:type="dxa"/>
            <w:tcBorders/>
            <w:vAlign w:val="bottom"/>
          </w:tcPr>
          <w:p>
            <w:pPr>
              <w:pStyle w:val="Normal"/>
              <w:jc w:val="right"/>
              <w:rPr>
                <w:rFonts w:cs="Calibri" w:cstheme="minorHAnsi"/>
                <w:i/>
                <w:i/>
                <w:iCs/>
                <w:color w:val="000000"/>
                <w:sz w:val="16"/>
                <w:szCs w:val="16"/>
              </w:rPr>
            </w:pPr>
            <w:r>
              <w:rPr>
                <w:rFonts w:cs="Calibri" w:cstheme="minorHAnsi"/>
                <w:sz w:val="16"/>
                <w:szCs w:val="16"/>
              </w:rPr>
              <w:t>1,7</w:t>
            </w:r>
          </w:p>
        </w:tc>
        <w:tc>
          <w:tcPr>
            <w:tcW w:w="1573" w:type="dxa"/>
            <w:tcBorders/>
            <w:vAlign w:val="bottom"/>
          </w:tcPr>
          <w:p>
            <w:pPr>
              <w:pStyle w:val="Normal"/>
              <w:jc w:val="right"/>
              <w:rPr>
                <w:rFonts w:cs="Calibri" w:cstheme="minorHAnsi"/>
                <w:i/>
                <w:i/>
                <w:iCs/>
                <w:color w:val="000000"/>
                <w:sz w:val="16"/>
                <w:szCs w:val="16"/>
              </w:rPr>
            </w:pPr>
            <w:r>
              <w:rPr>
                <w:rFonts w:cs="Calibri" w:cstheme="minorHAnsi"/>
                <w:sz w:val="16"/>
                <w:szCs w:val="16"/>
              </w:rPr>
              <w:t>20,6</w:t>
            </w:r>
          </w:p>
        </w:tc>
        <w:tc>
          <w:tcPr>
            <w:tcW w:w="1570" w:type="dxa"/>
            <w:tcBorders/>
            <w:vAlign w:val="bottom"/>
          </w:tcPr>
          <w:p>
            <w:pPr>
              <w:pStyle w:val="Normal"/>
              <w:jc w:val="right"/>
              <w:rPr>
                <w:rFonts w:cs="Calibri" w:cstheme="minorHAnsi"/>
                <w:i/>
                <w:i/>
                <w:iCs/>
                <w:color w:val="000000"/>
                <w:sz w:val="16"/>
                <w:szCs w:val="16"/>
              </w:rPr>
            </w:pPr>
            <w:r>
              <w:rPr>
                <w:rFonts w:cs="Calibri" w:cstheme="minorHAnsi"/>
                <w:sz w:val="16"/>
                <w:szCs w:val="16"/>
              </w:rPr>
              <w:t>1,1</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Sicilia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4,3</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13,4</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5,1</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17,9</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3,1</w:t>
            </w:r>
          </w:p>
        </w:tc>
      </w:tr>
      <w:tr>
        <w:trPr>
          <w:trHeight w:val="204" w:hRule="atLeast"/>
        </w:trPr>
        <w:tc>
          <w:tcPr>
            <w:tcW w:w="2088"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Sardegna</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4,8</w:t>
            </w:r>
          </w:p>
        </w:tc>
        <w:tc>
          <w:tcPr>
            <w:tcW w:w="157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14,6</w:t>
            </w:r>
          </w:p>
        </w:tc>
        <w:tc>
          <w:tcPr>
            <w:tcW w:w="1571"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4,3</w:t>
            </w:r>
          </w:p>
        </w:tc>
        <w:tc>
          <w:tcPr>
            <w:tcW w:w="1573" w:type="dxa"/>
            <w:tcBorders/>
            <w:vAlign w:val="bottom"/>
          </w:tcPr>
          <w:p>
            <w:pPr>
              <w:pStyle w:val="Normal"/>
              <w:jc w:val="right"/>
              <w:rPr>
                <w:rFonts w:cs="Calibri" w:cstheme="minorHAnsi"/>
                <w:color w:val="000000"/>
                <w:sz w:val="16"/>
                <w:szCs w:val="16"/>
              </w:rPr>
            </w:pPr>
            <w:r>
              <w:rPr>
                <w:rFonts w:cs="Calibri" w:cstheme="minorHAnsi"/>
                <w:sz w:val="16"/>
                <w:szCs w:val="16"/>
              </w:rPr>
              <w:t>19,9</w:t>
            </w:r>
          </w:p>
        </w:tc>
        <w:tc>
          <w:tcPr>
            <w:tcW w:w="1570"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4,2</w:t>
            </w:r>
          </w:p>
        </w:tc>
      </w:tr>
      <w:tr>
        <w:trPr>
          <w:trHeight w:val="204" w:hRule="atLeast"/>
        </w:trPr>
        <w:tc>
          <w:tcPr>
            <w:tcW w:w="2088" w:type="dxa"/>
            <w:tcBorders>
              <w:bottom w:val="single" w:sz="4" w:space="0" w:color="000000"/>
            </w:tcBorders>
            <w:vAlign w:val="bottom"/>
          </w:tcPr>
          <w:p>
            <w:pPr>
              <w:pStyle w:val="Normal"/>
              <w:rPr>
                <w:rFonts w:eastAsia="Times New Roman" w:cs="Calibri" w:cstheme="minorHAnsi"/>
                <w:color w:val="000000"/>
                <w:sz w:val="16"/>
                <w:szCs w:val="16"/>
                <w:lang w:eastAsia="it-IT"/>
              </w:rPr>
            </w:pPr>
            <w:r>
              <w:rPr>
                <w:rFonts w:cs="Calibri" w:cstheme="minorHAnsi"/>
                <w:b/>
                <w:bCs/>
                <w:sz w:val="16"/>
                <w:szCs w:val="16"/>
              </w:rPr>
              <w:t>Italia</w:t>
            </w:r>
          </w:p>
        </w:tc>
        <w:tc>
          <w:tcPr>
            <w:tcW w:w="1571"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5,7</w:t>
            </w:r>
          </w:p>
        </w:tc>
        <w:tc>
          <w:tcPr>
            <w:tcW w:w="1572"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15,9</w:t>
            </w:r>
          </w:p>
        </w:tc>
        <w:tc>
          <w:tcPr>
            <w:tcW w:w="1571"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6,1</w:t>
            </w:r>
          </w:p>
        </w:tc>
        <w:tc>
          <w:tcPr>
            <w:tcW w:w="1573" w:type="dxa"/>
            <w:tcBorders>
              <w:bottom w:val="single" w:sz="4" w:space="0" w:color="000000"/>
            </w:tcBorders>
            <w:vAlign w:val="bottom"/>
          </w:tcPr>
          <w:p>
            <w:pPr>
              <w:pStyle w:val="Normal"/>
              <w:jc w:val="right"/>
              <w:rPr>
                <w:rFonts w:cs="Calibri" w:cstheme="minorHAnsi"/>
                <w:color w:val="000000"/>
                <w:sz w:val="16"/>
                <w:szCs w:val="16"/>
              </w:rPr>
            </w:pPr>
            <w:r>
              <w:rPr>
                <w:rFonts w:cs="Calibri" w:cstheme="minorHAnsi"/>
                <w:b/>
                <w:bCs/>
                <w:sz w:val="16"/>
                <w:szCs w:val="16"/>
              </w:rPr>
              <w:t>20,1</w:t>
            </w:r>
          </w:p>
        </w:tc>
        <w:tc>
          <w:tcPr>
            <w:tcW w:w="1570"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4,5</w:t>
            </w:r>
          </w:p>
        </w:tc>
      </w:tr>
    </w:tbl>
    <w:p>
      <w:pPr>
        <w:pStyle w:val="Normal"/>
        <w:jc w:val="both"/>
        <w:rPr>
          <w:rFonts w:ascii="Times New Roman" w:hAnsi="Times New Roman" w:cs="Times New Roman"/>
          <w:sz w:val="16"/>
          <w:szCs w:val="16"/>
        </w:rPr>
      </w:pPr>
      <w:r>
        <w:rPr>
          <w:rFonts w:cs="Times New Roman" w:ascii="Times New Roman" w:hAnsi="Times New Roman"/>
          <w:sz w:val="16"/>
          <w:szCs w:val="16"/>
        </w:rPr>
        <w:t>Fonte: nostra elaborazione su dati Istat, Indagine sulla sicurezza dei cittadini 2022-2023</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Arial" w:hAnsi="Arial" w:cs="Arial"/>
          <w:sz w:val="22"/>
          <w:szCs w:val="22"/>
        </w:rPr>
      </w:pPr>
      <w:r>
        <w:rPr>
          <w:rFonts w:cs="Arial" w:ascii="Arial" w:hAnsi="Arial"/>
          <w:sz w:val="22"/>
          <w:szCs w:val="22"/>
        </w:rPr>
        <w:t>Risultati positivi per l’Emilia-Romagna emergono infine dagli atteggiamenti dei suoi cittadini verso la corruzione esu come contrastarla. Anche qui, infatti, emerge un atteggiamento innanzitutto contrario alla rassegnazione verso questo tipo di fenomeno, dal momento che sono molti meno rispetto alla media italiana quelli che lo considerano inevitabile (26% contro il 29 a livello nazionale) o che denunciarlo sia un atto inutile (13,9 contro il 23%) o pericoloso (59,5 contro 63,5%). La quasi totalità degli emiliano romagnoli, al contrario, considerano tale fenomeno diffuso e dannoso per la società (97,2% contro 92,4%) perché farebbe lievitare i costi dei servizi che inevitabilmente ricadono sui cittadini (69% contro 77%), anche per questa ragione tutti dovrebbero rivolgersi alle autorità competenti per denunciarla e combatterla (95,8% contro 90,7%).</w:t>
      </w:r>
    </w:p>
    <w:p>
      <w:pPr>
        <w:pStyle w:val="Normal"/>
        <w:ind w:firstLine="284"/>
        <w:jc w:val="both"/>
        <w:rPr>
          <w:rFonts w:ascii="Arial" w:hAnsi="Arial" w:cs="Arial"/>
          <w:sz w:val="22"/>
          <w:szCs w:val="22"/>
        </w:rPr>
      </w:pPr>
      <w:r>
        <w:rPr>
          <w:rFonts w:cs="Arial" w:ascii="Arial" w:hAnsi="Arial"/>
          <w:sz w:val="22"/>
          <w:szCs w:val="22"/>
        </w:rPr>
        <w:t>Alla luce delle considerazioni finora esposte, è possibile affermare che i fenomeni corruttivi in Emilia-Romagna presentano, nel complesso, una diffusione relativamente più contenuta rispetto ad altre aree del Paese. Tale risultato potrebbe essere ricondotto a un contesto sociale caratterizzato da una radicata cultura di avversione alla corruzione, in cui i cittadini, consapevoli della gravità di questi comportamenti, attribuiscono un valore significativo alla denuncia. Ne emerge un atteggiamento generalmente più responsabile e una maggiore fiducia nel sistema penale, elementi che concorrono a rafforzare la capacità del territorio di contrastare efficacemente tali condotte.</w:t>
      </w:r>
    </w:p>
    <w:p>
      <w:pPr>
        <w:pStyle w:val="Normal"/>
        <w:ind w:firstLine="284"/>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b/>
          <w:bCs/>
          <w:smallCaps/>
          <w:sz w:val="18"/>
          <w:szCs w:val="18"/>
        </w:rPr>
      </w:pPr>
      <w:r>
        <w:rPr>
          <w:rFonts w:cs="Times New Roman" w:ascii="Times New Roman" w:hAnsi="Times New Roman"/>
          <w:b/>
          <w:bCs/>
          <w:smallCaps/>
          <w:sz w:val="18"/>
          <w:szCs w:val="18"/>
        </w:rPr>
        <w:t>Tabella 10:</w:t>
      </w:r>
    </w:p>
    <w:p>
      <w:pPr>
        <w:pStyle w:val="Normal"/>
        <w:jc w:val="both"/>
        <w:rPr>
          <w:rFonts w:ascii="Times New Roman" w:hAnsi="Times New Roman" w:cs="Times New Roman"/>
        </w:rPr>
      </w:pPr>
      <w:r>
        <w:rPr>
          <w:rFonts w:cs="Times New Roman" w:ascii="Times New Roman" w:hAnsi="Times New Roman"/>
          <w:smallCaps/>
          <w:sz w:val="18"/>
          <w:szCs w:val="18"/>
        </w:rPr>
        <w:t>Persone molto o abbastanza d'accordo con alcune affermazioni inerenti il tema della corruzione per regione. anno 2022-2023 (per 100 persone tra i 18 e gli 80 anni)</w:t>
      </w:r>
    </w:p>
    <w:tbl>
      <w:tblPr>
        <w:tblW w:w="5000" w:type="pct"/>
        <w:jc w:val="left"/>
        <w:tblInd w:w="140" w:type="dxa"/>
        <w:tblLayout w:type="fixed"/>
        <w:tblCellMar>
          <w:top w:w="0" w:type="dxa"/>
          <w:left w:w="70" w:type="dxa"/>
          <w:bottom w:w="0" w:type="dxa"/>
          <w:right w:w="70" w:type="dxa"/>
        </w:tblCellMar>
        <w:tblLook w:val="04a0"/>
      </w:tblPr>
      <w:tblGrid>
        <w:gridCol w:w="1590"/>
        <w:gridCol w:w="1194"/>
        <w:gridCol w:w="1196"/>
        <w:gridCol w:w="1192"/>
        <w:gridCol w:w="1201"/>
        <w:gridCol w:w="1193"/>
        <w:gridCol w:w="1193"/>
        <w:gridCol w:w="1185"/>
      </w:tblGrid>
      <w:tr>
        <w:trPr>
          <w:trHeight w:val="944" w:hRule="atLeast"/>
        </w:trPr>
        <w:tc>
          <w:tcPr>
            <w:tcW w:w="1590" w:type="dxa"/>
            <w:tcBorders>
              <w:top w:val="single" w:sz="4" w:space="0" w:color="000000"/>
              <w:bottom w:val="single" w:sz="4" w:space="0" w:color="000000"/>
            </w:tcBorders>
            <w:vAlign w:val="bottom"/>
          </w:tcPr>
          <w:p>
            <w:pPr>
              <w:pStyle w:val="Normal"/>
              <w:rPr>
                <w:rFonts w:eastAsia="Times New Roman" w:cs="Calibri" w:cstheme="minorHAnsi"/>
                <w:color w:val="FF0000"/>
                <w:sz w:val="16"/>
                <w:szCs w:val="16"/>
                <w:lang w:eastAsia="it-IT"/>
              </w:rPr>
            </w:pPr>
            <w:r>
              <w:rPr>
                <w:rFonts w:eastAsia="Times New Roman" w:cs="Calibri" w:cstheme="minorHAnsi"/>
                <w:color w:val="FF0000"/>
                <w:sz w:val="16"/>
                <w:szCs w:val="16"/>
                <w:lang w:eastAsia="it-IT"/>
              </w:rPr>
            </w:r>
          </w:p>
        </w:tc>
        <w:tc>
          <w:tcPr>
            <w:tcW w:w="1194"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La corruzione è naturale e inevitabile</w:t>
            </w:r>
          </w:p>
        </w:tc>
        <w:tc>
          <w:tcPr>
            <w:tcW w:w="1196"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Tutti dovremmo combattere la corruzione denunciando</w:t>
            </w:r>
          </w:p>
        </w:tc>
        <w:tc>
          <w:tcPr>
            <w:tcW w:w="1192"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La corruzione è un danno per la società</w:t>
            </w:r>
          </w:p>
        </w:tc>
        <w:tc>
          <w:tcPr>
            <w:tcW w:w="1201"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Denunciare fatti di corruzione è pericoloso</w:t>
            </w:r>
          </w:p>
        </w:tc>
        <w:tc>
          <w:tcPr>
            <w:tcW w:w="1193"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La corruzione riguarda solo le grandi imprese e i politici</w:t>
            </w:r>
          </w:p>
        </w:tc>
        <w:tc>
          <w:tcPr>
            <w:tcW w:w="1193"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La corruzione fa aumentare i costi che i cittadini devono pagare per i servizi</w:t>
            </w:r>
          </w:p>
        </w:tc>
        <w:tc>
          <w:tcPr>
            <w:tcW w:w="1185" w:type="dxa"/>
            <w:tcBorders>
              <w:top w:val="single" w:sz="4" w:space="0" w:color="000000"/>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color w:val="000000"/>
                <w:sz w:val="16"/>
                <w:szCs w:val="16"/>
              </w:rPr>
              <w:t>Denunciare fatti di corruzione è inutile</w:t>
            </w:r>
          </w:p>
        </w:tc>
      </w:tr>
      <w:tr>
        <w:trPr>
          <w:trHeight w:val="204" w:hRule="atLeast"/>
        </w:trPr>
        <w:tc>
          <w:tcPr>
            <w:tcW w:w="1590" w:type="dxa"/>
            <w:tcBorders>
              <w:top w:val="single" w:sz="4" w:space="0" w:color="000000"/>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Piemonte</w:t>
            </w:r>
          </w:p>
        </w:tc>
        <w:tc>
          <w:tcPr>
            <w:tcW w:w="1194"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28,5</w:t>
            </w:r>
          </w:p>
        </w:tc>
        <w:tc>
          <w:tcPr>
            <w:tcW w:w="1196"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94,8</w:t>
            </w:r>
          </w:p>
        </w:tc>
        <w:tc>
          <w:tcPr>
            <w:tcW w:w="1192"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93,9</w:t>
            </w:r>
          </w:p>
        </w:tc>
        <w:tc>
          <w:tcPr>
            <w:tcW w:w="1201" w:type="dxa"/>
            <w:tcBorders>
              <w:top w:val="single" w:sz="4" w:space="0" w:color="000000"/>
            </w:tcBorders>
            <w:vAlign w:val="bottom"/>
          </w:tcPr>
          <w:p>
            <w:pPr>
              <w:pStyle w:val="Normal"/>
              <w:jc w:val="right"/>
              <w:rPr>
                <w:rFonts w:cs="Calibri" w:cstheme="minorHAnsi"/>
                <w:color w:val="000000"/>
                <w:sz w:val="16"/>
                <w:szCs w:val="16"/>
              </w:rPr>
            </w:pPr>
            <w:r>
              <w:rPr>
                <w:rFonts w:cs="Calibri" w:cstheme="minorHAnsi"/>
                <w:sz w:val="16"/>
                <w:szCs w:val="16"/>
              </w:rPr>
              <w:t>66</w:t>
            </w:r>
          </w:p>
        </w:tc>
        <w:tc>
          <w:tcPr>
            <w:tcW w:w="1193"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46,3</w:t>
            </w:r>
          </w:p>
        </w:tc>
        <w:tc>
          <w:tcPr>
            <w:tcW w:w="1193"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83,5</w:t>
            </w:r>
          </w:p>
        </w:tc>
        <w:tc>
          <w:tcPr>
            <w:tcW w:w="1185" w:type="dxa"/>
            <w:tcBorders>
              <w:top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28,5</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Valle d'Aosta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15,9</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87,6</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96,6</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69,5</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41,2</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61,7</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12,1</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Lombardia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17,9</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91,3</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94</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60,5</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31,4</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81,6</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18,7</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Trentino A.A.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31,05</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90,4</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94,45</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72,35</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20,85</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59,65</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14,35</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Veneto</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25</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94,5</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96,3</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63,7</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22,5</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80,8</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16,6</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Friuli V. Giulia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55,9</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95,6</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96,8</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72,8</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20,7</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49,6</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12,5</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Liguria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25,1</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97,7</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98,2</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71,9</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30,1</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92,2</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21,9</w:t>
            </w:r>
          </w:p>
        </w:tc>
      </w:tr>
      <w:tr>
        <w:trPr>
          <w:trHeight w:val="204" w:hRule="atLeast"/>
        </w:trPr>
        <w:tc>
          <w:tcPr>
            <w:tcW w:w="1590" w:type="dxa"/>
            <w:tcBorders/>
            <w:vAlign w:val="bottom"/>
          </w:tcPr>
          <w:p>
            <w:pPr>
              <w:pStyle w:val="Normal"/>
              <w:rPr>
                <w:rFonts w:eastAsia="Times New Roman" w:cs="Calibri" w:cstheme="minorHAnsi"/>
                <w:color w:val="FF0000"/>
                <w:sz w:val="16"/>
                <w:szCs w:val="16"/>
                <w:lang w:eastAsia="it-IT"/>
              </w:rPr>
            </w:pPr>
            <w:r>
              <w:rPr>
                <w:rFonts w:cs="Calibri" w:cstheme="minorHAnsi"/>
                <w:color w:val="FF0000"/>
                <w:sz w:val="16"/>
                <w:szCs w:val="16"/>
              </w:rPr>
              <w:t>Emilia-Romagna</w:t>
            </w:r>
          </w:p>
        </w:tc>
        <w:tc>
          <w:tcPr>
            <w:tcW w:w="1194"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26,2</w:t>
            </w:r>
          </w:p>
        </w:tc>
        <w:tc>
          <w:tcPr>
            <w:tcW w:w="1196"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95,8</w:t>
            </w:r>
          </w:p>
        </w:tc>
        <w:tc>
          <w:tcPr>
            <w:tcW w:w="1192"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97,2</w:t>
            </w:r>
          </w:p>
        </w:tc>
        <w:tc>
          <w:tcPr>
            <w:tcW w:w="1201" w:type="dxa"/>
            <w:tcBorders/>
            <w:vAlign w:val="bottom"/>
          </w:tcPr>
          <w:p>
            <w:pPr>
              <w:pStyle w:val="Normal"/>
              <w:jc w:val="right"/>
              <w:rPr>
                <w:rFonts w:cs="Calibri" w:cstheme="minorHAnsi"/>
                <w:color w:val="FF0000"/>
                <w:sz w:val="16"/>
                <w:szCs w:val="16"/>
              </w:rPr>
            </w:pPr>
            <w:r>
              <w:rPr>
                <w:rFonts w:cs="Calibri" w:cstheme="minorHAnsi"/>
                <w:color w:val="FF0000"/>
                <w:sz w:val="16"/>
                <w:szCs w:val="16"/>
              </w:rPr>
              <w:t>59,5</w:t>
            </w:r>
          </w:p>
        </w:tc>
        <w:tc>
          <w:tcPr>
            <w:tcW w:w="1193"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30,1</w:t>
            </w:r>
          </w:p>
        </w:tc>
        <w:tc>
          <w:tcPr>
            <w:tcW w:w="1193"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69,1</w:t>
            </w:r>
          </w:p>
        </w:tc>
        <w:tc>
          <w:tcPr>
            <w:tcW w:w="1185" w:type="dxa"/>
            <w:tcBorders/>
            <w:vAlign w:val="bottom"/>
          </w:tcPr>
          <w:p>
            <w:pPr>
              <w:pStyle w:val="Normal"/>
              <w:jc w:val="right"/>
              <w:rPr>
                <w:rFonts w:eastAsia="Times New Roman" w:cs="Calibri" w:cstheme="minorHAnsi"/>
                <w:color w:val="FF0000"/>
                <w:sz w:val="16"/>
                <w:szCs w:val="16"/>
                <w:lang w:eastAsia="it-IT"/>
              </w:rPr>
            </w:pPr>
            <w:r>
              <w:rPr>
                <w:rFonts w:cs="Calibri" w:cstheme="minorHAnsi"/>
                <w:color w:val="FF0000"/>
                <w:sz w:val="16"/>
                <w:szCs w:val="16"/>
              </w:rPr>
              <w:t>13,9</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Toscana</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49</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91,7</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92,3</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73,4</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30,4</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70,9</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25,2</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Umbria</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38,1</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93,4</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95,5</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75,6</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25,9</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80,3</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27,4</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Marche</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27,2</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93,6</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91,6</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73,5</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42,8</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86</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25,1</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Lazio</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34,7</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90,6</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93,6</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62,8</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38,9</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77,2</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28,1</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Abruzzo</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25,3</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86,5</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90</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66,8</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40,5</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79,8</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26,9</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Molise</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37,9</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89,9</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87,1</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49,3</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21,8</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80,6</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28,7</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Campania</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33,9</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81,6</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82,4</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55,5</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31</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75,2</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34,1</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Puglia</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39,7</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94,7</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93,5</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72,8</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29,4</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77,9</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31,5</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Basilicata</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30,2</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90,9</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95,5</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60,7</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19,7</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78,7</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13,9</w:t>
            </w:r>
          </w:p>
        </w:tc>
      </w:tr>
      <w:tr>
        <w:trPr>
          <w:trHeight w:val="204" w:hRule="atLeast"/>
        </w:trPr>
        <w:tc>
          <w:tcPr>
            <w:tcW w:w="1590" w:type="dxa"/>
            <w:tcBorders/>
            <w:vAlign w:val="bottom"/>
          </w:tcPr>
          <w:p>
            <w:pPr>
              <w:pStyle w:val="Normal"/>
              <w:rPr>
                <w:rFonts w:cs="Calibri" w:cstheme="minorHAnsi"/>
                <w:i/>
                <w:i/>
                <w:iCs/>
                <w:color w:val="000000"/>
                <w:sz w:val="16"/>
                <w:szCs w:val="16"/>
              </w:rPr>
            </w:pPr>
            <w:r>
              <w:rPr>
                <w:rFonts w:cs="Calibri" w:cstheme="minorHAnsi"/>
                <w:sz w:val="16"/>
                <w:szCs w:val="16"/>
              </w:rPr>
              <w:t>Calabria</w:t>
            </w:r>
          </w:p>
        </w:tc>
        <w:tc>
          <w:tcPr>
            <w:tcW w:w="1194" w:type="dxa"/>
            <w:tcBorders/>
            <w:vAlign w:val="bottom"/>
          </w:tcPr>
          <w:p>
            <w:pPr>
              <w:pStyle w:val="Normal"/>
              <w:jc w:val="right"/>
              <w:rPr>
                <w:rFonts w:cs="Calibri" w:cstheme="minorHAnsi"/>
                <w:i/>
                <w:i/>
                <w:iCs/>
                <w:color w:val="000000"/>
                <w:sz w:val="16"/>
                <w:szCs w:val="16"/>
              </w:rPr>
            </w:pPr>
            <w:r>
              <w:rPr>
                <w:rFonts w:cs="Calibri" w:cstheme="minorHAnsi"/>
                <w:sz w:val="16"/>
                <w:szCs w:val="16"/>
              </w:rPr>
              <w:t>14,9</w:t>
            </w:r>
          </w:p>
        </w:tc>
        <w:tc>
          <w:tcPr>
            <w:tcW w:w="1196" w:type="dxa"/>
            <w:tcBorders/>
            <w:vAlign w:val="bottom"/>
          </w:tcPr>
          <w:p>
            <w:pPr>
              <w:pStyle w:val="Normal"/>
              <w:jc w:val="right"/>
              <w:rPr>
                <w:rFonts w:cs="Calibri" w:cstheme="minorHAnsi"/>
                <w:i/>
                <w:i/>
                <w:iCs/>
                <w:color w:val="000000"/>
                <w:sz w:val="16"/>
                <w:szCs w:val="16"/>
              </w:rPr>
            </w:pPr>
            <w:r>
              <w:rPr>
                <w:rFonts w:cs="Calibri" w:cstheme="minorHAnsi"/>
                <w:sz w:val="16"/>
                <w:szCs w:val="16"/>
              </w:rPr>
              <w:t>76,9</w:t>
            </w:r>
          </w:p>
        </w:tc>
        <w:tc>
          <w:tcPr>
            <w:tcW w:w="1192" w:type="dxa"/>
            <w:tcBorders/>
            <w:vAlign w:val="bottom"/>
          </w:tcPr>
          <w:p>
            <w:pPr>
              <w:pStyle w:val="Normal"/>
              <w:jc w:val="right"/>
              <w:rPr>
                <w:rFonts w:cs="Calibri" w:cstheme="minorHAnsi"/>
                <w:i/>
                <w:i/>
                <w:iCs/>
                <w:color w:val="000000"/>
                <w:sz w:val="16"/>
                <w:szCs w:val="16"/>
              </w:rPr>
            </w:pPr>
            <w:r>
              <w:rPr>
                <w:rFonts w:cs="Calibri" w:cstheme="minorHAnsi"/>
                <w:sz w:val="16"/>
                <w:szCs w:val="16"/>
              </w:rPr>
              <w:t>81</w:t>
            </w:r>
          </w:p>
        </w:tc>
        <w:tc>
          <w:tcPr>
            <w:tcW w:w="1201" w:type="dxa"/>
            <w:tcBorders/>
            <w:vAlign w:val="bottom"/>
          </w:tcPr>
          <w:p>
            <w:pPr>
              <w:pStyle w:val="Normal"/>
              <w:jc w:val="right"/>
              <w:rPr>
                <w:rFonts w:cs="Calibri" w:cstheme="minorHAnsi"/>
                <w:i/>
                <w:i/>
                <w:iCs/>
                <w:color w:val="000000"/>
                <w:sz w:val="16"/>
                <w:szCs w:val="16"/>
              </w:rPr>
            </w:pPr>
            <w:r>
              <w:rPr>
                <w:rFonts w:cs="Calibri" w:cstheme="minorHAnsi"/>
                <w:sz w:val="16"/>
                <w:szCs w:val="16"/>
              </w:rPr>
              <w:t>40</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36,8</w:t>
            </w:r>
          </w:p>
        </w:tc>
        <w:tc>
          <w:tcPr>
            <w:tcW w:w="1193" w:type="dxa"/>
            <w:tcBorders/>
            <w:vAlign w:val="bottom"/>
          </w:tcPr>
          <w:p>
            <w:pPr>
              <w:pStyle w:val="Normal"/>
              <w:jc w:val="right"/>
              <w:rPr>
                <w:rFonts w:cs="Calibri" w:cstheme="minorHAnsi"/>
                <w:i/>
                <w:i/>
                <w:iCs/>
                <w:color w:val="000000"/>
                <w:sz w:val="16"/>
                <w:szCs w:val="16"/>
              </w:rPr>
            </w:pPr>
            <w:r>
              <w:rPr>
                <w:rFonts w:cs="Calibri" w:cstheme="minorHAnsi"/>
                <w:sz w:val="16"/>
                <w:szCs w:val="16"/>
              </w:rPr>
              <w:t>69,8</w:t>
            </w:r>
          </w:p>
        </w:tc>
        <w:tc>
          <w:tcPr>
            <w:tcW w:w="1185" w:type="dxa"/>
            <w:tcBorders/>
            <w:vAlign w:val="bottom"/>
          </w:tcPr>
          <w:p>
            <w:pPr>
              <w:pStyle w:val="Normal"/>
              <w:jc w:val="right"/>
              <w:rPr>
                <w:rFonts w:cs="Calibri" w:cstheme="minorHAnsi"/>
                <w:i/>
                <w:i/>
                <w:iCs/>
                <w:color w:val="000000"/>
                <w:sz w:val="16"/>
                <w:szCs w:val="16"/>
              </w:rPr>
            </w:pPr>
            <w:r>
              <w:rPr>
                <w:rFonts w:cs="Calibri" w:cstheme="minorHAnsi"/>
                <w:sz w:val="16"/>
                <w:szCs w:val="16"/>
              </w:rPr>
              <w:t>18,3</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Sicilia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27,1</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86,3</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88,8</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58,7</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24,5</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73,5</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19,5</w:t>
            </w:r>
          </w:p>
        </w:tc>
      </w:tr>
      <w:tr>
        <w:trPr>
          <w:trHeight w:val="204" w:hRule="atLeast"/>
        </w:trPr>
        <w:tc>
          <w:tcPr>
            <w:tcW w:w="1590" w:type="dxa"/>
            <w:tcBorders/>
            <w:vAlign w:val="bottom"/>
          </w:tcPr>
          <w:p>
            <w:pPr>
              <w:pStyle w:val="Normal"/>
              <w:rPr>
                <w:rFonts w:eastAsia="Times New Roman" w:cs="Calibri" w:cstheme="minorHAnsi"/>
                <w:color w:val="000000"/>
                <w:sz w:val="16"/>
                <w:szCs w:val="16"/>
                <w:lang w:eastAsia="it-IT"/>
              </w:rPr>
            </w:pPr>
            <w:r>
              <w:rPr>
                <w:rFonts w:cs="Calibri" w:cstheme="minorHAnsi"/>
                <w:sz w:val="16"/>
                <w:szCs w:val="16"/>
              </w:rPr>
              <w:t>Sardegna</w:t>
            </w:r>
          </w:p>
        </w:tc>
        <w:tc>
          <w:tcPr>
            <w:tcW w:w="1194"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27,0</w:t>
            </w:r>
          </w:p>
        </w:tc>
        <w:tc>
          <w:tcPr>
            <w:tcW w:w="1196"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91,5</w:t>
            </w:r>
          </w:p>
        </w:tc>
        <w:tc>
          <w:tcPr>
            <w:tcW w:w="1192"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97,8</w:t>
            </w:r>
          </w:p>
        </w:tc>
        <w:tc>
          <w:tcPr>
            <w:tcW w:w="1201" w:type="dxa"/>
            <w:tcBorders/>
            <w:vAlign w:val="bottom"/>
          </w:tcPr>
          <w:p>
            <w:pPr>
              <w:pStyle w:val="Normal"/>
              <w:jc w:val="right"/>
              <w:rPr>
                <w:rFonts w:cs="Calibri" w:cstheme="minorHAnsi"/>
                <w:color w:val="000000"/>
                <w:sz w:val="16"/>
                <w:szCs w:val="16"/>
              </w:rPr>
            </w:pPr>
            <w:r>
              <w:rPr>
                <w:rFonts w:cs="Calibri" w:cstheme="minorHAnsi"/>
                <w:sz w:val="16"/>
                <w:szCs w:val="16"/>
              </w:rPr>
              <w:t>72,6</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43,9</w:t>
            </w:r>
          </w:p>
        </w:tc>
        <w:tc>
          <w:tcPr>
            <w:tcW w:w="1193"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87</w:t>
            </w:r>
          </w:p>
        </w:tc>
        <w:tc>
          <w:tcPr>
            <w:tcW w:w="1185" w:type="dxa"/>
            <w:tcBorders/>
            <w:vAlign w:val="bottom"/>
          </w:tcPr>
          <w:p>
            <w:pPr>
              <w:pStyle w:val="Normal"/>
              <w:jc w:val="right"/>
              <w:rPr>
                <w:rFonts w:eastAsia="Times New Roman" w:cs="Calibri" w:cstheme="minorHAnsi"/>
                <w:color w:val="000000"/>
                <w:sz w:val="16"/>
                <w:szCs w:val="16"/>
                <w:lang w:eastAsia="it-IT"/>
              </w:rPr>
            </w:pPr>
            <w:r>
              <w:rPr>
                <w:rFonts w:cs="Calibri" w:cstheme="minorHAnsi"/>
                <w:sz w:val="16"/>
                <w:szCs w:val="16"/>
              </w:rPr>
              <w:t>26,2</w:t>
            </w:r>
          </w:p>
        </w:tc>
      </w:tr>
      <w:tr>
        <w:trPr>
          <w:trHeight w:val="204" w:hRule="atLeast"/>
        </w:trPr>
        <w:tc>
          <w:tcPr>
            <w:tcW w:w="1590" w:type="dxa"/>
            <w:tcBorders>
              <w:bottom w:val="single" w:sz="4" w:space="0" w:color="000000"/>
            </w:tcBorders>
            <w:vAlign w:val="bottom"/>
          </w:tcPr>
          <w:p>
            <w:pPr>
              <w:pStyle w:val="Normal"/>
              <w:rPr>
                <w:rFonts w:eastAsia="Times New Roman" w:cs="Calibri" w:cstheme="minorHAnsi"/>
                <w:color w:val="000000"/>
                <w:sz w:val="16"/>
                <w:szCs w:val="16"/>
                <w:lang w:eastAsia="it-IT"/>
              </w:rPr>
            </w:pPr>
            <w:r>
              <w:rPr>
                <w:rFonts w:cs="Calibri" w:cstheme="minorHAnsi"/>
                <w:b/>
                <w:bCs/>
                <w:sz w:val="16"/>
                <w:szCs w:val="16"/>
              </w:rPr>
              <w:t>Totale</w:t>
            </w:r>
          </w:p>
        </w:tc>
        <w:tc>
          <w:tcPr>
            <w:tcW w:w="1194"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29,4</w:t>
            </w:r>
          </w:p>
        </w:tc>
        <w:tc>
          <w:tcPr>
            <w:tcW w:w="1196"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90,7</w:t>
            </w:r>
          </w:p>
        </w:tc>
        <w:tc>
          <w:tcPr>
            <w:tcW w:w="1192"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92,4</w:t>
            </w:r>
          </w:p>
        </w:tc>
        <w:tc>
          <w:tcPr>
            <w:tcW w:w="1201" w:type="dxa"/>
            <w:tcBorders>
              <w:bottom w:val="single" w:sz="4" w:space="0" w:color="000000"/>
            </w:tcBorders>
            <w:vAlign w:val="bottom"/>
          </w:tcPr>
          <w:p>
            <w:pPr>
              <w:pStyle w:val="Normal"/>
              <w:jc w:val="right"/>
              <w:rPr>
                <w:rFonts w:cs="Calibri" w:cstheme="minorHAnsi"/>
                <w:color w:val="000000"/>
                <w:sz w:val="16"/>
                <w:szCs w:val="16"/>
              </w:rPr>
            </w:pPr>
            <w:r>
              <w:rPr>
                <w:rFonts w:cs="Calibri" w:cstheme="minorHAnsi"/>
                <w:b/>
                <w:bCs/>
                <w:sz w:val="16"/>
                <w:szCs w:val="16"/>
              </w:rPr>
              <w:t>63,4</w:t>
            </w:r>
          </w:p>
        </w:tc>
        <w:tc>
          <w:tcPr>
            <w:tcW w:w="1193"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31,8</w:t>
            </w:r>
          </w:p>
        </w:tc>
        <w:tc>
          <w:tcPr>
            <w:tcW w:w="1193"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77,1</w:t>
            </w:r>
          </w:p>
        </w:tc>
        <w:tc>
          <w:tcPr>
            <w:tcW w:w="1185" w:type="dxa"/>
            <w:tcBorders>
              <w:bottom w:val="single" w:sz="4" w:space="0" w:color="000000"/>
            </w:tcBorders>
            <w:vAlign w:val="bottom"/>
          </w:tcPr>
          <w:p>
            <w:pPr>
              <w:pStyle w:val="Normal"/>
              <w:jc w:val="right"/>
              <w:rPr>
                <w:rFonts w:eastAsia="Times New Roman" w:cs="Calibri" w:cstheme="minorHAnsi"/>
                <w:color w:val="000000"/>
                <w:sz w:val="16"/>
                <w:szCs w:val="16"/>
                <w:lang w:eastAsia="it-IT"/>
              </w:rPr>
            </w:pPr>
            <w:r>
              <w:rPr>
                <w:rFonts w:cs="Calibri" w:cstheme="minorHAnsi"/>
                <w:b/>
                <w:bCs/>
                <w:sz w:val="16"/>
                <w:szCs w:val="16"/>
              </w:rPr>
              <w:t>23,1</w:t>
            </w:r>
          </w:p>
        </w:tc>
      </w:tr>
    </w:tbl>
    <w:p>
      <w:pPr>
        <w:pStyle w:val="Normal"/>
        <w:jc w:val="both"/>
        <w:rPr>
          <w:rFonts w:ascii="Times New Roman" w:hAnsi="Times New Roman" w:cs="Times New Roman"/>
          <w:sz w:val="16"/>
          <w:szCs w:val="16"/>
        </w:rPr>
      </w:pPr>
      <w:r>
        <w:rPr>
          <w:rFonts w:cs="Times New Roman" w:ascii="Times New Roman" w:hAnsi="Times New Roman"/>
          <w:sz w:val="16"/>
          <w:szCs w:val="16"/>
        </w:rPr>
        <w:t>Fonte: nostra elaborazione su dati Istat, Indagine sulla sicurezza dei cittadini 2022-2023</w:t>
      </w:r>
    </w:p>
    <w:p>
      <w:pPr>
        <w:pStyle w:val="Normal"/>
        <w:ind w:firstLine="284"/>
        <w:jc w:val="both"/>
        <w:rPr>
          <w:rFonts w:ascii="Times New Roman" w:hAnsi="Times New Roman" w:cs="Times New Roman"/>
        </w:rPr>
      </w:pPr>
      <w:r>
        <w:rPr>
          <w:rFonts w:cs="Times New Roman" w:ascii="Times New Roman" w:hAnsi="Times New Roman"/>
        </w:rPr>
      </w:r>
    </w:p>
    <w:p>
      <w:pPr>
        <w:pStyle w:val="Normal"/>
        <w:ind w:firstLine="284"/>
        <w:jc w:val="both"/>
        <w:rPr>
          <w:rFonts w:ascii="Times New Roman" w:hAnsi="Times New Roman" w:cs="Times New Roman"/>
        </w:rPr>
      </w:pPr>
      <w:r>
        <w:rPr>
          <w:rFonts w:cs="Times New Roman" w:ascii="Times New Roman" w:hAnsi="Times New Roman"/>
        </w:rPr>
      </w:r>
    </w:p>
    <w:p>
      <w:pPr>
        <w:pStyle w:val="ListParagraph"/>
        <w:spacing w:before="0" w:after="0"/>
        <w:ind w:left="0"/>
        <w:contextualSpacing/>
        <w:jc w:val="both"/>
        <w:rPr>
          <w:rFonts w:ascii="Times New Roman" w:hAnsi="Times New Roman" w:cs="Times New Roman"/>
          <w:b/>
          <w:bCs/>
        </w:rPr>
      </w:pPr>
      <w:r>
        <w:rPr>
          <w:rFonts w:cs="Times New Roman" w:ascii="Times New Roman" w:hAnsi="Times New Roman"/>
          <w:b/>
          <w:bCs/>
        </w:rPr>
        <w:t>6. Conclusioni</w:t>
      </w:r>
    </w:p>
    <w:p>
      <w:pPr>
        <w:pStyle w:val="ListParagraph"/>
        <w:spacing w:before="0" w:after="0"/>
        <w:ind w:firstLine="284" w:left="0"/>
        <w:contextualSpacing/>
        <w:jc w:val="both"/>
        <w:rPr>
          <w:rFonts w:ascii="Arial" w:hAnsi="Arial" w:cs="Arial"/>
          <w:sz w:val="22"/>
          <w:szCs w:val="22"/>
        </w:rPr>
      </w:pPr>
      <w:r>
        <w:rPr>
          <w:rFonts w:cs="Arial" w:ascii="Arial" w:hAnsi="Arial"/>
          <w:sz w:val="22"/>
          <w:szCs w:val="22"/>
        </w:rPr>
        <w:t>La lettura complessiva dei fenomeni descritti in questo documento restituisce l’immagine di un territorio, quello dell’Emilia-Romagna, attraversato da dinamiche criminali complesse e sempre meno riconducibili a schemi tradizionali. Le evidenze disponibili mostrano come la regione, pur caratterizzata da elevati livelli di sviluppo socioeconomico, da un tessuto imprenditoriale articolato e da un diffuso capitale sociale, sia diventata negli anni un luogo particolarmente attrattivo per gruppi criminali di varia natura, inclusi quelli di matrice mafiosa. Questa attrattività non dipende soltanto dalla ricchezza del contesto economico, ma anche da un quadro relazionale in cui la presenza di aree grigie, la fragilità dei meccanismi di controllo e la disponibilità di competenze qualificate favoriscono forme di cooperazione tra criminalità organizzata, colletti bianchi e imprenditori compiacenti.</w:t>
      </w:r>
    </w:p>
    <w:p>
      <w:pPr>
        <w:pStyle w:val="Normal"/>
        <w:ind w:firstLine="284"/>
        <w:jc w:val="both"/>
        <w:rPr>
          <w:rFonts w:ascii="Arial" w:hAnsi="Arial" w:cs="Arial"/>
          <w:sz w:val="22"/>
          <w:szCs w:val="22"/>
        </w:rPr>
      </w:pPr>
      <w:r>
        <w:rPr>
          <w:rFonts w:cs="Arial" w:ascii="Arial" w:hAnsi="Arial"/>
          <w:sz w:val="22"/>
          <w:szCs w:val="22"/>
        </w:rPr>
        <w:t>Il profilo che emerge è quello di una regione in cui le organizzazioni criminali alternano forme di controllo diretto del territorio - in modo particolare in alcune aree - a modalità più sofisticate di infiltrazione, prevalentemente orientate alla gestione di traffici ad alto rendimento e, soprattutto, al reimpiego di capitali illeciti in attività economiche legali. Le statistiche disponibili mostrano infatti come, accanto ai tradizionali traffici illeciti – in particolare la filiera degli stupefacenti, ancora molto radicata nelle aree urbane– stiano assumendo un rilievo crescente le attività di natura economico-finanziaria. È in questo ambito che l’Emilia-Romagna si discosta più nettamente da altri contesti territoriali anche limitrofi, evidenziando livelli di delittuosità significativamente superiori e un incremento costante di reati come il riciclaggio, l’impiego di denaro illecito e le frodi. Come più volte ribadito, tale configurazione appare coerente con la struttura economica regionale, che per articolazione e dinamicità offre ampi margini di infiltrazione e ampie possibilità di mimetizzazione dei capitali criminali.</w:t>
      </w:r>
    </w:p>
    <w:p>
      <w:pPr>
        <w:pStyle w:val="Normal"/>
        <w:ind w:firstLine="284"/>
        <w:jc w:val="both"/>
        <w:rPr>
          <w:rFonts w:ascii="Arial" w:hAnsi="Arial" w:cs="Arial"/>
          <w:sz w:val="22"/>
          <w:szCs w:val="22"/>
        </w:rPr>
      </w:pPr>
      <w:r>
        <w:rPr>
          <w:rFonts w:cs="Arial" w:ascii="Arial" w:hAnsi="Arial"/>
          <w:sz w:val="22"/>
          <w:szCs w:val="22"/>
        </w:rPr>
        <w:t>Il confronto interno tra le province conferma l’esistenza di forti differenze locali e suggerisce che le strategie criminali si adattino in modo flessibile alle caratteristiche dei singoli territori. I poli metropolitani e turistici, come Bologna e Rimini, presentano i livelli più elevati in quasi tuttigli ambiti di illegalità analizzati, mostrando una combinazione particolarmente critica di fattori di rischio: elevata mobilità, intensa attività economica, presenza di infrastrutture logistiche e una maggiore disponibilità di opportunità legali e illegali. Anche Ravenna, per ragioni legate alla struttura economica e alla funzione portuale, evidenzia una vulnerabilità significativa soprattutto nell’ambito dei traffici illeciti. Province come Parma, Modena e Ferrara si distinguono per l’espansione dei reati economico-finanziari, mentre realtà più piccole o con un tessuto economico relativamente meno complesso presentano valori di delittuosità più contenuti, pur non essendo esenti da dinamiche di crescita.</w:t>
      </w:r>
    </w:p>
    <w:p>
      <w:pPr>
        <w:pStyle w:val="Normal"/>
        <w:ind w:firstLine="284"/>
        <w:jc w:val="both"/>
        <w:rPr>
          <w:rFonts w:ascii="Arial" w:hAnsi="Arial" w:cs="Arial"/>
          <w:sz w:val="22"/>
          <w:szCs w:val="22"/>
        </w:rPr>
      </w:pPr>
      <w:r>
        <w:rPr>
          <w:rFonts w:cs="Arial" w:ascii="Arial" w:hAnsi="Arial"/>
          <w:sz w:val="22"/>
          <w:szCs w:val="22"/>
        </w:rPr>
        <w:t>L’Emilia-Romagna, nel suo complesso, mostra dunque un profilo di esposizione criminale che non può essere interpretato solo attraverso la lente dei modelli mafiosi tradizionali. La prevalenza dei reati fraudolenti e delle condotte economico-finanziarie, la presenza di traffici altamente remunerativi e la progressiva stabilizzazione delle pratiche estorsive in alcuni territori indicano un sistema criminale sempre più integrato con l’economia legale e caratterizzato da forme di collaborazione tra attori criminali e attori formalmente legittimi. L’analisi dimostra che il rischio principale per la regione non risiede tanto nell’espansione violenta delle mafie, quanto nella loro capacità di radicarsi all’interno dei circuiti economici e (meno) amministrativi attraverso relazioni collusive, ingenti capitali e competenze tecniche qualificate.</w:t>
      </w:r>
    </w:p>
    <w:p>
      <w:pPr>
        <w:pStyle w:val="Normal"/>
        <w:ind w:firstLine="284"/>
        <w:jc w:val="both"/>
        <w:rPr>
          <w:rFonts w:ascii="Arial" w:hAnsi="Arial" w:cs="Arial"/>
          <w:sz w:val="22"/>
          <w:szCs w:val="22"/>
        </w:rPr>
      </w:pPr>
      <w:r>
        <w:rPr>
          <w:rFonts w:cs="Arial" w:ascii="Arial" w:hAnsi="Arial"/>
          <w:sz w:val="22"/>
          <w:szCs w:val="22"/>
        </w:rPr>
        <w:t>In questo quadro, la comprensione delle dinamiche criminali richiede un approccio multidimensionale, fondato sulla combinazione di fonti statistiche differenti e capace di cogliere le trasformazioni in atto nei sistemi illegali. Il percorso ricostruito evidenzia come l’Emilia-Romagna si trovi oggi in un equilibrio delicato, in cui la solidità economica e sociale del territorio può rappresentare al tempo stesso un fattore di protezione e una leva di vulnerabilità. La capacità delle organizzazioni criminali di sfruttare selettivamente le opportunità offerte da un contesto dinamico e competitivo rende necessario considerare i fenomeni analizzati non come elementi isolati, ma come parti di un unico sistema, in cui criminalità organizzata, reati economico-finanziari e condotte corruttive agiscono spesso come componenti interdipendenti di un medesimo circuito di potere e di accumulazione.</w:t>
      </w:r>
    </w:p>
    <w:p>
      <w:pPr>
        <w:pStyle w:val="Normal"/>
        <w:ind w:firstLine="284"/>
        <w:jc w:val="both"/>
        <w:rPr>
          <w:rFonts w:ascii="Arial" w:hAnsi="Arial" w:cs="Arial"/>
          <w:sz w:val="22"/>
          <w:szCs w:val="22"/>
        </w:rPr>
      </w:pPr>
      <w:r>
        <w:rPr>
          <w:rFonts w:cs="Arial" w:ascii="Arial" w:hAnsi="Arial"/>
          <w:sz w:val="22"/>
          <w:szCs w:val="22"/>
        </w:rPr>
        <w:t>A ciò si aggiunge un ulteriore elemento: l’atteggiamento dei cittadini nei confronti dei fattori corruttivi e, in generale, dell’illegalità. Sebbene in Emilia-Romagna emerga una maggiore propensione alla denuncia e un più elevato livello di fiducia nel sistema istituzionale, tale patrimonio civico non può essere dato per scontato. Per evitare che i meccanismi corruttivi trovino spazio e indebolire le reti criminali esistenti, è necessario mantenere alta l’attenzione e continuare a rafforzare la fiducia dei cittadini nelle istituzioni. Tale fiducia può essere alimentata concretamente solo attraverso la trasparenzae il corretto funzionamento dell’azione amministrativa, principi sanciti dalla Costituzione e fondamentali per garantire l’efficacia dell’azione pubblica. In questo senso, un sistema istituzionale percepito come integro e affidabile costituisce un presidio essenziale per sostenere la partecipazione civica e contribuire, nel lungo periodo, all’eradicazione dei fenomeni criminali.”</w:t>
      </w:r>
    </w:p>
    <w:p>
      <w:pPr>
        <w:pStyle w:val="Normal"/>
        <w:ind w:firstLine="284"/>
        <w:jc w:val="both"/>
        <w:rPr>
          <w:rFonts w:ascii="Arial" w:hAnsi="Arial" w:cs="Arial"/>
          <w:sz w:val="22"/>
          <w:szCs w:val="22"/>
        </w:rPr>
      </w:pPr>
      <w:r>
        <w:rPr>
          <w:rFonts w:cs="Arial" w:ascii="Arial" w:hAnsi="Arial"/>
          <w:sz w:val="22"/>
          <w:szCs w:val="22"/>
        </w:rPr>
      </w:r>
    </w:p>
    <w:p>
      <w:pPr>
        <w:pStyle w:val="Normal"/>
        <w:jc w:val="both"/>
        <w:rPr>
          <w:rFonts w:ascii="Arial" w:hAnsi="Arial" w:cs="Arial"/>
          <w:b/>
          <w:bCs/>
          <w:color w:val="244061"/>
          <w:sz w:val="22"/>
          <w:szCs w:val="22"/>
        </w:rPr>
      </w:pPr>
      <w:r>
        <w:rPr>
          <w:rFonts w:cs="Arial" w:ascii="Arial" w:hAnsi="Arial"/>
          <w:b/>
          <w:bCs/>
          <w:color w:val="244061"/>
          <w:sz w:val="22"/>
          <w:szCs w:val="22"/>
        </w:rPr>
      </w:r>
    </w:p>
    <w:tbl>
      <w:tblPr>
        <w:tblW w:w="3880" w:type="dxa"/>
        <w:jc w:val="left"/>
        <w:tblInd w:w="140" w:type="dxa"/>
        <w:tblLayout w:type="fixed"/>
        <w:tblCellMar>
          <w:top w:w="0" w:type="dxa"/>
          <w:left w:w="70" w:type="dxa"/>
          <w:bottom w:w="0" w:type="dxa"/>
          <w:right w:w="70" w:type="dxa"/>
        </w:tblCellMar>
        <w:tblLook w:val="04a0"/>
      </w:tblPr>
      <w:tblGrid>
        <w:gridCol w:w="3880"/>
      </w:tblGrid>
      <w:tr>
        <w:trPr>
          <w:trHeight w:val="225" w:hRule="atLeast"/>
        </w:trPr>
        <w:tc>
          <w:tcPr>
            <w:tcW w:w="3880" w:type="dxa"/>
            <w:tcBorders/>
            <w:shd w:color="auto" w:fill="auto" w:val="clear"/>
            <w:vAlign w:val="bottom"/>
          </w:tcPr>
          <w:p>
            <w:pPr>
              <w:pStyle w:val="Normal"/>
              <w:snapToGrid w:val="false"/>
              <w:rPr>
                <w:rFonts w:ascii="Arial" w:hAnsi="Arial" w:eastAsia="Times New Roman" w:cs="Arial"/>
                <w:sz w:val="16"/>
                <w:szCs w:val="16"/>
                <w:lang w:eastAsia="it-IT"/>
              </w:rPr>
            </w:pPr>
            <w:r>
              <w:rPr>
                <w:rFonts w:eastAsia="Times New Roman" w:cs="Arial" w:ascii="Arial" w:hAnsi="Arial"/>
                <w:sz w:val="16"/>
                <w:szCs w:val="16"/>
                <w:lang w:eastAsia="it-IT"/>
              </w:rPr>
            </w:r>
          </w:p>
        </w:tc>
      </w:tr>
    </w:tbl>
    <w:p>
      <w:pPr>
        <w:pStyle w:val="Normal"/>
        <w:jc w:val="both"/>
        <w:rPr>
          <w:rFonts w:ascii="Arial" w:hAnsi="Arial" w:cs="Arial"/>
          <w:sz w:val="22"/>
          <w:szCs w:val="22"/>
        </w:rPr>
      </w:pPr>
      <w:r>
        <w:rPr>
          <w:rFonts w:eastAsia="Arial" w:cs="Arial" w:ascii="Arial" w:hAnsi="Arial"/>
          <w:sz w:val="22"/>
          <w:szCs w:val="22"/>
          <w:highlight w:val="white"/>
          <w:lang w:eastAsia="it-IT"/>
        </w:rPr>
        <w:t>Dai dati sopra riportati si evidenzia che in generale nel contesto della Regione Emilia-Romagna e della Provincia di Modena è stata registrata la presenza di criminalità organizzata e l’esigenza di quest’ultima di infiltrarsi nell’economia per investire i proventi delle attività illecite che comporta l’esposizione a un rilevante rischio di corruzione. La corruzione costituisce, infatti, il meccanismo utile con il quale le organizzazioni criminali tentano di deviare le autorità politiche e amministrative dall’interesse collettivo e si garantiscono il controllo delle risorse pubbliche disponibili.</w:t>
      </w:r>
    </w:p>
    <w:p>
      <w:pPr>
        <w:pStyle w:val="Normal"/>
        <w:jc w:val="both"/>
        <w:rPr>
          <w:rFonts w:ascii="Arial" w:hAnsi="Arial" w:cs="Arial"/>
          <w:sz w:val="22"/>
          <w:szCs w:val="22"/>
        </w:rPr>
      </w:pPr>
      <w:r>
        <w:rPr>
          <w:rFonts w:eastAsia="Arial" w:cs="Arial" w:ascii="Arial" w:hAnsi="Arial"/>
          <w:sz w:val="22"/>
          <w:szCs w:val="22"/>
          <w:highlight w:val="white"/>
          <w:lang w:eastAsia="ar-SA"/>
        </w:rPr>
        <w:t>Nel territorio della provincia di Modena è accertata l’infiltrazione della criminalità organizzata di tipo mafioso nel tessuto economico-imprenditoriale. In particolare, soggetti della Camorra risulterebbero dediti ad attività di “money-laundring” e reimpiego di proventi illeciti in rami di impresa a vario modo collegati al gioco d’azzardo.</w:t>
      </w:r>
    </w:p>
    <w:p>
      <w:pPr>
        <w:pStyle w:val="Normal"/>
        <w:jc w:val="both"/>
        <w:rPr>
          <w:rFonts w:ascii="Arial" w:hAnsi="Arial" w:cs="Arial"/>
          <w:sz w:val="22"/>
          <w:szCs w:val="22"/>
        </w:rPr>
      </w:pPr>
      <w:r>
        <w:rPr>
          <w:rFonts w:eastAsia="Arial" w:cs="Arial" w:ascii="Arial" w:hAnsi="Arial"/>
          <w:sz w:val="22"/>
          <w:szCs w:val="22"/>
          <w:highlight w:val="white"/>
          <w:lang w:eastAsia="ar-SA"/>
        </w:rPr>
        <w:t>Concrete possibilità di infiltrazione si sono accertate nei settori dell’intermediazione nel mercato del lavoro e in quello immobiliare.</w:t>
      </w:r>
    </w:p>
    <w:p>
      <w:pPr>
        <w:pStyle w:val="Normal"/>
        <w:jc w:val="both"/>
        <w:rPr>
          <w:rFonts w:ascii="Arial" w:hAnsi="Arial" w:cs="Arial"/>
          <w:sz w:val="22"/>
          <w:szCs w:val="22"/>
        </w:rPr>
      </w:pPr>
      <w:r>
        <w:rPr>
          <w:rFonts w:eastAsia="Arial" w:cs="Arial" w:ascii="Arial" w:hAnsi="Arial"/>
          <w:sz w:val="22"/>
          <w:szCs w:val="22"/>
          <w:highlight w:val="white"/>
          <w:lang w:eastAsia="ar-SA"/>
        </w:rPr>
        <w:t>L’attività investigativa ha rilevato rapporti tra elementi riconducibili ai “casalesi” e settori distorti dell’imprenditoria modenese, con un modus operandi ispirato alla corruzione di pubblici funzionari ed amministratori, col fine ultimo di ottenere l’aggiudicazione di commesse pubbliche.</w:t>
      </w:r>
    </w:p>
    <w:p>
      <w:pPr>
        <w:pStyle w:val="Normal"/>
        <w:jc w:val="both"/>
        <w:rPr>
          <w:rFonts w:ascii="Arial" w:hAnsi="Arial" w:cs="Arial"/>
          <w:sz w:val="22"/>
          <w:szCs w:val="22"/>
        </w:rPr>
      </w:pPr>
      <w:r>
        <w:rPr>
          <w:rFonts w:eastAsia="Arial" w:cs="Arial" w:ascii="Arial" w:hAnsi="Arial"/>
          <w:sz w:val="22"/>
          <w:szCs w:val="22"/>
          <w:highlight w:val="white"/>
          <w:lang w:eastAsia="ar-SA"/>
        </w:rPr>
        <w:t>Nella provincia risultano insediati anche soggetti affiliati e/o contigui ad ‘ndrine calabresi, attivi nelle pratiche estorsive ed usuraie, nel traffico e nello spaccio di sostanze stupefacenti, nel riciclaggio di danaro di provenienza illecita, nei tentativi di infiltrazione nell’economia legale attraverso l’alienazione e/o la costituzione di attività imprenditoriali edili o di costruzioni generali, con l’obiettivo di acquisire appalti pubblici e fornire supporto logistico a latitanti.</w:t>
      </w:r>
    </w:p>
    <w:p>
      <w:pPr>
        <w:pStyle w:val="Normal"/>
        <w:jc w:val="both"/>
        <w:rPr>
          <w:rFonts w:ascii="Arial" w:hAnsi="Arial" w:cs="Arial"/>
          <w:sz w:val="22"/>
          <w:szCs w:val="22"/>
        </w:rPr>
      </w:pPr>
      <w:r>
        <w:rPr>
          <w:rFonts w:eastAsia="Arial" w:cs="Arial" w:ascii="Arial" w:hAnsi="Arial"/>
          <w:sz w:val="22"/>
          <w:szCs w:val="22"/>
          <w:highlight w:val="white"/>
          <w:lang w:eastAsia="ar-SA"/>
        </w:rPr>
        <w:t>Anche il settore dei trasporti e della logistica risulta esposto al rischio di infiltrazioni da parte della criminalità organizzata mafiosa.</w:t>
      </w:r>
    </w:p>
    <w:p>
      <w:pPr>
        <w:pStyle w:val="Normal"/>
        <w:jc w:val="both"/>
        <w:rPr>
          <w:rFonts w:ascii="Arial" w:hAnsi="Arial" w:cs="Arial"/>
          <w:sz w:val="22"/>
          <w:szCs w:val="22"/>
        </w:rPr>
      </w:pPr>
      <w:r>
        <w:rPr>
          <w:rFonts w:eastAsia="Arial" w:cs="Arial" w:ascii="Arial" w:hAnsi="Arial"/>
          <w:sz w:val="22"/>
          <w:szCs w:val="22"/>
          <w:highlight w:val="white"/>
          <w:lang w:eastAsia="ar-SA"/>
        </w:rPr>
        <w:t>E’ stata rilevata anche la presenza di soggetti riconducibili a Cosa nostra siciliana per investimenti di capitali, illecitamente acquisiti, nei mercati immobiliare e finanziario. Sono stati documentati anche taluni tentativi di aggiudicazione, tramite società “contaminate”, di appalti pubblici.</w:t>
      </w:r>
    </w:p>
    <w:p>
      <w:pPr>
        <w:pStyle w:val="Normal"/>
        <w:jc w:val="both"/>
        <w:rPr>
          <w:rFonts w:ascii="Arial" w:hAnsi="Arial" w:cs="Arial"/>
          <w:sz w:val="22"/>
          <w:szCs w:val="22"/>
        </w:rPr>
      </w:pPr>
      <w:r>
        <w:rPr>
          <w:rFonts w:eastAsia="Arial" w:cs="Arial" w:ascii="Arial" w:hAnsi="Arial"/>
          <w:sz w:val="22"/>
          <w:szCs w:val="22"/>
          <w:highlight w:val="white"/>
          <w:lang w:eastAsia="ar-SA"/>
        </w:rPr>
        <w:t>Si rileva la presenza di soggetti collegati alla Sacra Corona Unita, che mostrano interessi nella gestione del gioco d’azzardo e degli apparecchi elettronici, ma coinvolti anche in pratiche estorsive ed usuraie.</w:t>
      </w:r>
    </w:p>
    <w:p>
      <w:pPr>
        <w:pStyle w:val="Normal"/>
        <w:jc w:val="both"/>
        <w:rPr>
          <w:rFonts w:ascii="Arial" w:hAnsi="Arial" w:cs="Arial"/>
          <w:sz w:val="22"/>
          <w:szCs w:val="22"/>
        </w:rPr>
      </w:pPr>
      <w:r>
        <w:rPr>
          <w:rFonts w:eastAsia="Arial" w:cs="Arial" w:ascii="Arial" w:hAnsi="Arial"/>
          <w:sz w:val="22"/>
          <w:szCs w:val="22"/>
          <w:highlight w:val="white"/>
          <w:lang w:eastAsia="ar-SA"/>
        </w:rPr>
        <w:t>Nella bassa modenese, numerosi sono i laboratori tessili gestiti da imprenditori di nazionalità cinese, alcuni dei quali inquinano l’economica legale dei mercati, con il ricorso al sistematico sfruttamento di propri connazionali e al “dumping sociale” (concorrenza sleale).</w:t>
      </w:r>
    </w:p>
    <w:p>
      <w:pPr>
        <w:pStyle w:val="Normal"/>
        <w:jc w:val="center"/>
        <w:rPr>
          <w:rFonts w:ascii="Arial" w:hAnsi="Arial" w:eastAsia="Arial" w:cs="Arial"/>
          <w:sz w:val="22"/>
          <w:szCs w:val="22"/>
          <w:lang w:eastAsia="it-IT"/>
        </w:rPr>
      </w:pPr>
      <w:r>
        <w:rPr>
          <w:rFonts w:eastAsia="Arial" w:cs="Arial" w:ascii="Arial" w:hAnsi="Arial"/>
          <w:sz w:val="22"/>
          <w:szCs w:val="22"/>
          <w:lang w:eastAsia="it-IT"/>
        </w:rPr>
      </w:r>
    </w:p>
    <w:p>
      <w:pPr>
        <w:pStyle w:val="Normal"/>
        <w:jc w:val="both"/>
        <w:textAlignment w:val="top"/>
        <w:rPr>
          <w:rFonts w:ascii="Arial" w:hAnsi="Arial" w:cs="Arial"/>
          <w:sz w:val="22"/>
          <w:szCs w:val="22"/>
        </w:rPr>
      </w:pPr>
      <w:r>
        <w:rPr>
          <w:rFonts w:eastAsia="Arial" w:cs="Arial" w:ascii="Arial" w:hAnsi="Arial"/>
          <w:sz w:val="22"/>
          <w:szCs w:val="22"/>
          <w:highlight w:val="white"/>
          <w:lang w:eastAsia="it-IT"/>
        </w:rPr>
        <w:t xml:space="preserve">Le aree di particolare esposizione al rischio di corruzione si confermano quelle individuate dal Piano Nazionale Anticorruzione, ed in particolare i processi concernenti l’affidamento di lavori, servizi e forniture. In tale contesto e alla luce di quanto innanzi illustrato, il Comune di Marano sul Panaro ha ritenuto di prevedere una serie di misure, per le quali si rimanda all’allegato 1 del presente Piano, che tengono conto e recepiscono le indicazioni fornite dall’ANAC nella Determinazione n. 12/2015 di aggiornamento 2015 al PNA, che ha focalizzato l’attenzione su tale ambito, prevedendo specifiche ulteriori misure di prevenzione e fornendo un’analisi approfondita non solo della fase di affidamento ma anche di quelle successive di esecuzione del contratto. </w:t>
      </w:r>
    </w:p>
    <w:p>
      <w:pPr>
        <w:pStyle w:val="Normal"/>
        <w:spacing w:lineRule="exact" w:line="260" w:before="240" w:after="0"/>
        <w:rPr>
          <w:rFonts w:ascii="Arial" w:hAnsi="Arial" w:eastAsia="" w:cs="Arial" w:eastAsiaTheme="majorEastAsia"/>
          <w:color w:themeColor="accent1" w:themeShade="bf" w:val="2F5496"/>
          <w:sz w:val="22"/>
          <w:szCs w:val="22"/>
        </w:rPr>
      </w:pPr>
      <w:r>
        <w:rPr>
          <w:rFonts w:eastAsia="" w:cs="Arial" w:ascii="Arial" w:hAnsi="Arial" w:eastAsiaTheme="majorEastAsia"/>
          <w:color w:themeColor="accent1" w:themeShade="bf" w:val="2F5496"/>
          <w:sz w:val="22"/>
          <w:szCs w:val="22"/>
        </w:rPr>
        <w:t>Valutazione di impatto del contesto interno e la mappatura dei processi</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cs="Arial" w:ascii="Arial" w:hAnsi="Arial"/>
          <w:color w:themeColor="text1" w:val="000000"/>
          <w:sz w:val="22"/>
          <w:szCs w:val="22"/>
        </w:rPr>
        <w:t>Per l’organizzazione dell’ente si fa direttamente rinvio alla sottosezione 3.1 “Struttura organizzativa” del presente PIAO.</w:t>
      </w:r>
    </w:p>
    <w:p>
      <w:pPr>
        <w:pStyle w:val="Normal"/>
        <w:jc w:val="both"/>
        <w:textAlignment w:val="top"/>
        <w:rPr>
          <w:sz w:val="22"/>
          <w:szCs w:val="22"/>
        </w:rPr>
      </w:pPr>
      <w:r>
        <w:rPr>
          <w:rFonts w:cs="Arial" w:ascii="Arial" w:hAnsi="Arial"/>
          <w:sz w:val="22"/>
          <w:szCs w:val="22"/>
        </w:rPr>
        <w:t>In relazione alla deliberazione di Giunta comunale n. 44 del 20/5/2019, la struttura organizzativa del Comune è stata suddivisa in quattro Settori, come di seguito evidenziato; il Segretario Comunale, Dott.ssa Margherita Martini</w:t>
      </w:r>
      <w:r>
        <w:rPr>
          <w:rFonts w:cs="Arial" w:ascii="Arial" w:hAnsi="Arial"/>
          <w:sz w:val="22"/>
          <w:szCs w:val="22"/>
          <w:lang w:eastAsia="it-IT"/>
        </w:rPr>
        <w:t xml:space="preserve">, </w:t>
      </w:r>
      <w:r>
        <w:rPr>
          <w:rFonts w:cs="Arial" w:ascii="Arial" w:hAnsi="Arial"/>
          <w:sz w:val="22"/>
          <w:szCs w:val="22"/>
        </w:rPr>
        <w:t>è stato individuato, ai sensi dell’art. 1 comma 7 secondo capoverso della Legge 190/2012, come Responsabile anticorruzione del Comune di Marano sul Panaro, con Decreto del Sindaco del 15/4/2013, e come Responsabile della trasparenza, con Decreto del Sindaco del 30/09/2013.</w:t>
      </w:r>
    </w:p>
    <w:p>
      <w:pPr>
        <w:pStyle w:val="Normal"/>
        <w:jc w:val="both"/>
        <w:textAlignment w:val="top"/>
        <w:rPr>
          <w:rFonts w:ascii="Arial" w:hAnsi="Arial" w:cs="Arial"/>
          <w:sz w:val="22"/>
          <w:szCs w:val="22"/>
        </w:rPr>
      </w:pPr>
      <w:r>
        <w:rPr>
          <w:rFonts w:cs="Arial" w:ascii="Arial" w:hAnsi="Arial"/>
          <w:sz w:val="22"/>
          <w:szCs w:val="22"/>
        </w:rPr>
      </w:r>
    </w:p>
    <w:p>
      <w:pPr>
        <w:pStyle w:val="Normal"/>
        <w:jc w:val="both"/>
        <w:textAlignment w:val="top"/>
        <w:rPr>
          <w:rFonts w:ascii="Arial" w:hAnsi="Arial" w:cs="Arial"/>
          <w:sz w:val="22"/>
          <w:szCs w:val="22"/>
        </w:rPr>
      </w:pPr>
      <w:r>
        <w:rPr>
          <w:rFonts w:cs="Arial" w:ascii="Arial" w:hAnsi="Arial"/>
          <w:sz w:val="22"/>
          <w:szCs w:val="22"/>
        </w:rPr>
        <w:t xml:space="preserve">Con deliberazione della Giunta comunale n. 6 in data 25/01/2023 è stato nominato il Responsabile dell’Anagrafe della Stazione Appaltante (RASA) del Comune di Marano sul Panaro, individuato nel Responsabile del Settore </w:t>
      </w:r>
      <w:r>
        <w:rPr>
          <w:rFonts w:cs="Arial" w:ascii="Arial" w:hAnsi="Arial"/>
        </w:rPr>
        <w:t>Edilizia, Urbanistica ed Ambiente, Lavori Pubblici, patrimonio e demanio Ing. Enrico Campioni,</w:t>
      </w:r>
      <w:r>
        <w:rPr>
          <w:rFonts w:cs="Arial" w:ascii="Arial" w:hAnsi="Arial"/>
          <w:sz w:val="22"/>
          <w:szCs w:val="22"/>
        </w:rPr>
        <w:t xml:space="preserve"> incaricato della compilazione e dell’aggiornamento dei dati dell’Anagrafe Unica delle Stazioni Appaltanti (AUSA). </w:t>
      </w:r>
    </w:p>
    <w:p>
      <w:pPr>
        <w:pStyle w:val="Normal"/>
        <w:jc w:val="both"/>
        <w:textAlignment w:val="top"/>
        <w:rPr>
          <w:rFonts w:ascii="Arial" w:hAnsi="Arial" w:cs="Arial"/>
          <w:sz w:val="22"/>
          <w:szCs w:val="22"/>
        </w:rPr>
      </w:pPr>
      <w:r>
        <w:rPr>
          <w:rFonts w:cs="Arial" w:ascii="Arial" w:hAnsi="Arial"/>
          <w:sz w:val="22"/>
          <w:szCs w:val="22"/>
        </w:rPr>
      </w:r>
    </w:p>
    <w:p>
      <w:pPr>
        <w:pStyle w:val="Normal"/>
        <w:jc w:val="both"/>
        <w:textAlignment w:val="top"/>
        <w:rPr>
          <w:rFonts w:ascii="Arial" w:hAnsi="Arial" w:cs="Arial"/>
          <w:sz w:val="22"/>
          <w:szCs w:val="22"/>
        </w:rPr>
      </w:pPr>
      <w:r>
        <w:rPr>
          <w:rFonts w:cs="Arial" w:ascii="Arial" w:hAnsi="Arial"/>
          <w:sz w:val="22"/>
          <w:szCs w:val="22"/>
        </w:rPr>
        <w:t>Con convenzione approvata con deliberazione del Consiglio Comunale n. 46 del 30/11/2020 e prorogata con deliberazione del Consiglio Comunale n. 54 del 23/1272025, il Comune di Marano ha aderito all’Ufficio Tributi Unico Associato tra i Comuni di Vignola, Marano sul Panaro e Savignano sul Panaro. Pertanto, con decorrenza dal 1° gennaio 2021, la gestione dei principali tributi comunali si svolge in forma associata mediante tale Ufficio.</w:t>
      </w:r>
    </w:p>
    <w:p>
      <w:pPr>
        <w:pStyle w:val="Normal"/>
        <w:jc w:val="both"/>
        <w:rPr>
          <w:rFonts w:ascii="Arial" w:hAnsi="Arial" w:cs="Arial"/>
          <w:sz w:val="22"/>
          <w:szCs w:val="22"/>
        </w:rPr>
      </w:pPr>
      <w:r>
        <w:rPr>
          <w:rFonts w:cs="Arial" w:ascii="Arial" w:hAnsi="Arial"/>
          <w:sz w:val="22"/>
          <w:szCs w:val="22"/>
        </w:rPr>
        <w:t xml:space="preserve">Si rappresenta che il presente Piano prende in considerazione esclusivamente i processi critici direttamente gestiti dal Comune. </w:t>
      </w:r>
    </w:p>
    <w:p>
      <w:pPr>
        <w:pStyle w:val="Normal"/>
        <w:jc w:val="both"/>
        <w:rPr>
          <w:rFonts w:ascii="Arial" w:hAnsi="Arial" w:cs="Arial"/>
          <w:sz w:val="22"/>
          <w:szCs w:val="22"/>
        </w:rPr>
      </w:pPr>
      <w:r>
        <w:rPr>
          <w:rFonts w:cs="Arial" w:ascii="Arial" w:hAnsi="Arial"/>
          <w:sz w:val="22"/>
          <w:szCs w:val="22"/>
        </w:rPr>
        <w:t>A tal fine si sottolinea che tra questi non possono figurare quelli relativi ai seguenti servizi resi in forma esternalizzata o gestiti dall’Unione Terre di Castelli, e quindi dell’integrità degli operatori impegnati su tali attività dovrà necessariamente rispondere l’Unione o il soggetto gestore; i principali servizi attualmente resi in forma esternalizzata sono:</w:t>
      </w:r>
    </w:p>
    <w:p>
      <w:pPr>
        <w:pStyle w:val="Normal"/>
        <w:numPr>
          <w:ilvl w:val="0"/>
          <w:numId w:val="7"/>
        </w:numPr>
        <w:rPr>
          <w:rFonts w:ascii="Arial" w:hAnsi="Arial" w:cs="Arial"/>
          <w:sz w:val="22"/>
          <w:szCs w:val="22"/>
        </w:rPr>
      </w:pPr>
      <w:r>
        <w:rPr>
          <w:rFonts w:cs="Arial" w:ascii="Arial" w:hAnsi="Arial"/>
          <w:sz w:val="22"/>
          <w:szCs w:val="22"/>
        </w:rPr>
        <w:t>servizi sociali e sociosanitari e servizi sociali professionali (gestiti dall’Unione)</w:t>
      </w:r>
    </w:p>
    <w:p>
      <w:pPr>
        <w:pStyle w:val="Normal"/>
        <w:numPr>
          <w:ilvl w:val="0"/>
          <w:numId w:val="7"/>
        </w:numPr>
        <w:rPr>
          <w:rFonts w:ascii="Arial" w:hAnsi="Arial" w:cs="Arial"/>
          <w:sz w:val="22"/>
          <w:szCs w:val="22"/>
        </w:rPr>
      </w:pPr>
      <w:r>
        <w:rPr>
          <w:rFonts w:cs="Arial" w:ascii="Arial" w:hAnsi="Arial"/>
          <w:sz w:val="22"/>
          <w:szCs w:val="22"/>
        </w:rPr>
        <w:t>pubblica istruzione (gestita dall’Unione)</w:t>
      </w:r>
    </w:p>
    <w:p>
      <w:pPr>
        <w:pStyle w:val="Normal"/>
        <w:numPr>
          <w:ilvl w:val="0"/>
          <w:numId w:val="7"/>
        </w:numPr>
        <w:rPr>
          <w:rFonts w:ascii="Arial" w:hAnsi="Arial" w:cs="Arial"/>
          <w:sz w:val="22"/>
          <w:szCs w:val="22"/>
        </w:rPr>
      </w:pPr>
      <w:r>
        <w:rPr>
          <w:rFonts w:cs="Arial" w:ascii="Arial" w:hAnsi="Arial"/>
          <w:sz w:val="22"/>
          <w:szCs w:val="22"/>
        </w:rPr>
        <w:t>gestione del personale (gestita dall’Unione)</w:t>
      </w:r>
    </w:p>
    <w:p>
      <w:pPr>
        <w:pStyle w:val="Normal"/>
        <w:numPr>
          <w:ilvl w:val="0"/>
          <w:numId w:val="7"/>
        </w:numPr>
        <w:rPr>
          <w:rFonts w:ascii="Arial" w:hAnsi="Arial" w:cs="Arial"/>
          <w:sz w:val="22"/>
          <w:szCs w:val="22"/>
        </w:rPr>
      </w:pPr>
      <w:r>
        <w:rPr>
          <w:rFonts w:cs="Arial" w:ascii="Arial" w:hAnsi="Arial"/>
          <w:sz w:val="22"/>
          <w:szCs w:val="22"/>
        </w:rPr>
        <w:t>servizi informativi (gestiti dall’Unione)</w:t>
      </w:r>
    </w:p>
    <w:p>
      <w:pPr>
        <w:pStyle w:val="Normal"/>
        <w:numPr>
          <w:ilvl w:val="0"/>
          <w:numId w:val="7"/>
        </w:numPr>
        <w:rPr>
          <w:rFonts w:ascii="Arial" w:hAnsi="Arial" w:cs="Arial"/>
          <w:sz w:val="22"/>
          <w:szCs w:val="22"/>
        </w:rPr>
      </w:pPr>
      <w:r>
        <w:rPr>
          <w:rFonts w:cs="Arial" w:ascii="Arial" w:hAnsi="Arial"/>
          <w:sz w:val="22"/>
          <w:szCs w:val="22"/>
        </w:rPr>
        <w:t>agricoltura e tutela del territorio (gestiti dall’Unione)</w:t>
      </w:r>
    </w:p>
    <w:p>
      <w:pPr>
        <w:pStyle w:val="Normal"/>
        <w:numPr>
          <w:ilvl w:val="0"/>
          <w:numId w:val="7"/>
        </w:numPr>
        <w:rPr>
          <w:rFonts w:ascii="Arial" w:hAnsi="Arial" w:cs="Arial"/>
          <w:sz w:val="22"/>
          <w:szCs w:val="22"/>
        </w:rPr>
      </w:pPr>
      <w:r>
        <w:rPr>
          <w:rFonts w:cs="Arial" w:ascii="Arial" w:hAnsi="Arial"/>
          <w:sz w:val="22"/>
          <w:szCs w:val="22"/>
        </w:rPr>
        <w:t>Polizia locale (gestita dall’Unione)</w:t>
      </w:r>
    </w:p>
    <w:p>
      <w:pPr>
        <w:pStyle w:val="Normal"/>
        <w:numPr>
          <w:ilvl w:val="0"/>
          <w:numId w:val="7"/>
        </w:numPr>
        <w:rPr>
          <w:rFonts w:ascii="Arial" w:hAnsi="Arial" w:cs="Arial"/>
          <w:sz w:val="22"/>
          <w:szCs w:val="22"/>
        </w:rPr>
      </w:pPr>
      <w:r>
        <w:rPr>
          <w:rFonts w:cs="Arial" w:ascii="Arial" w:hAnsi="Arial"/>
          <w:sz w:val="22"/>
          <w:szCs w:val="22"/>
        </w:rPr>
        <w:t>Sistema Bibliotecario intercomunale (gestito dall’Unione)</w:t>
      </w:r>
    </w:p>
    <w:p>
      <w:pPr>
        <w:pStyle w:val="Normal"/>
        <w:numPr>
          <w:ilvl w:val="0"/>
          <w:numId w:val="7"/>
        </w:numPr>
        <w:rPr>
          <w:rFonts w:ascii="Arial" w:hAnsi="Arial"/>
          <w:sz w:val="22"/>
          <w:szCs w:val="22"/>
        </w:rPr>
      </w:pPr>
      <w:r>
        <w:rPr>
          <w:rFonts w:cs="Arial" w:ascii="Arial" w:hAnsi="Arial"/>
          <w:sz w:val="22"/>
          <w:szCs w:val="22"/>
        </w:rPr>
        <w:t>raccolta e smaltimento rifiuti (gestita da HERA spa).</w:t>
      </w:r>
    </w:p>
    <w:p>
      <w:pPr>
        <w:pStyle w:val="Normal"/>
        <w:ind w:left="720"/>
        <w:rPr>
          <w:rFonts w:ascii="Arial" w:hAnsi="Arial"/>
          <w:sz w:val="22"/>
          <w:szCs w:val="22"/>
        </w:rPr>
      </w:pPr>
      <w:r>
        <w:rPr>
          <w:rFonts w:ascii="Arial" w:hAnsi="Arial"/>
          <w:sz w:val="22"/>
          <w:szCs w:val="22"/>
        </w:rPr>
      </w:r>
    </w:p>
    <w:p>
      <w:pPr>
        <w:pStyle w:val="Normal"/>
        <w:spacing w:lineRule="exact" w:line="260"/>
        <w:jc w:val="both"/>
        <w:rPr>
          <w:rFonts w:ascii="Arial" w:hAnsi="Arial" w:cs="Arial"/>
          <w:color w:themeColor="text1" w:val="000000"/>
          <w:sz w:val="22"/>
          <w:szCs w:val="22"/>
        </w:rPr>
      </w:pPr>
      <w:r>
        <w:rPr>
          <w:rFonts w:cs="Arial" w:ascii="Arial" w:hAnsi="Arial"/>
          <w:color w:themeColor="text1" w:val="000000"/>
          <w:sz w:val="22"/>
          <w:szCs w:val="22"/>
        </w:rPr>
      </w:r>
    </w:p>
    <w:p>
      <w:pPr>
        <w:pStyle w:val="Normal"/>
        <w:spacing w:lineRule="exact" w:line="260"/>
        <w:jc w:val="both"/>
        <w:rPr>
          <w:rFonts w:ascii="Arial" w:hAnsi="Arial" w:cs="Arial"/>
          <w:color w:themeColor="text1" w:val="000000"/>
          <w:sz w:val="22"/>
          <w:szCs w:val="22"/>
        </w:rPr>
      </w:pPr>
      <w:r>
        <w:rPr>
          <w:rFonts w:eastAsia="" w:cs="Arial" w:ascii="Arial" w:hAnsi="Arial" w:eastAsiaTheme="majorEastAsia"/>
          <w:color w:val="000000"/>
          <w:sz w:val="22"/>
          <w:szCs w:val="22"/>
        </w:rPr>
        <w:t>La stesura del Piano Triennale di Prevenzione della Corruzione per i vari trienni dal 2014 in poi è stata quindi realizzata mettendo a sistema tutte le azioni operative proposte dal personale coinvolto e validate dai Responsabili di Settore e le azioni di carattere generale che ottemperano le prescrizioni della L. 190/2012. Particolare attenzione è stata posta nel garantire la “</w:t>
      </w:r>
      <w:r>
        <w:rPr>
          <w:rFonts w:eastAsia="" w:cs="Arial" w:ascii="Arial" w:hAnsi="Arial" w:eastAsiaTheme="majorEastAsia"/>
          <w:b/>
          <w:color w:val="000000"/>
          <w:sz w:val="22"/>
          <w:szCs w:val="22"/>
        </w:rPr>
        <w:t>fattibilità</w:t>
      </w:r>
      <w:r>
        <w:rPr>
          <w:rFonts w:eastAsia="" w:cs="Arial" w:ascii="Arial" w:hAnsi="Arial" w:eastAsiaTheme="majorEastAsia"/>
          <w:color w:val="000000"/>
          <w:sz w:val="22"/>
          <w:szCs w:val="22"/>
        </w:rPr>
        <w:t xml:space="preserve">” </w:t>
      </w:r>
      <w:r>
        <w:rPr>
          <w:rFonts w:eastAsia="" w:cs="Arial" w:ascii="Arial" w:hAnsi="Arial" w:eastAsiaTheme="majorEastAsia"/>
          <w:b/>
          <w:color w:val="000000"/>
          <w:sz w:val="22"/>
          <w:szCs w:val="22"/>
        </w:rPr>
        <w:t>delle azioni previste</w:t>
      </w:r>
      <w:r>
        <w:rPr>
          <w:rFonts w:eastAsia="" w:cs="Arial" w:ascii="Arial" w:hAnsi="Arial" w:eastAsiaTheme="majorEastAsia"/>
          <w:color w:val="000000"/>
          <w:sz w:val="22"/>
          <w:szCs w:val="22"/>
        </w:rPr>
        <w:t>, sia in termini operativi che finanziari (evitando spese o investimenti non coerenti con le possibilità finanziarie dell’Ente), attraverso la verifica della coerenza rispetto agli altri strumenti di programmazione dell’Ente.</w:t>
      </w:r>
    </w:p>
    <w:p>
      <w:pPr>
        <w:pStyle w:val="Normal"/>
        <w:spacing w:lineRule="exact" w:line="260"/>
        <w:jc w:val="both"/>
        <w:rPr>
          <w:rFonts w:ascii="Arial" w:hAnsi="Arial" w:cs="Arial"/>
          <w:color w:themeColor="text1" w:val="000000"/>
          <w:sz w:val="22"/>
          <w:szCs w:val="22"/>
        </w:rPr>
      </w:pPr>
      <w:r>
        <w:rPr>
          <w:rFonts w:cs="Arial" w:ascii="Arial" w:hAnsi="Arial"/>
          <w:color w:themeColor="text1" w:val="000000"/>
          <w:sz w:val="22"/>
          <w:szCs w:val="22"/>
        </w:rPr>
      </w:r>
    </w:p>
    <w:p>
      <w:pPr>
        <w:pStyle w:val="Normal"/>
        <w:spacing w:lineRule="exact" w:line="280" w:before="240" w:after="0"/>
        <w:rPr>
          <w:rFonts w:ascii="Arial" w:hAnsi="Arial" w:eastAsia="" w:cs="Arial" w:eastAsiaTheme="majorEastAsia"/>
          <w:color w:themeColor="accent1" w:themeShade="bf" w:val="2F5496"/>
        </w:rPr>
      </w:pPr>
      <w:r>
        <w:rPr>
          <w:rFonts w:eastAsia="" w:cs="Arial" w:ascii="Arial" w:hAnsi="Arial" w:eastAsiaTheme="majorEastAsia"/>
          <w:color w:themeColor="accent1" w:themeShade="bf" w:val="2F5496"/>
        </w:rPr>
        <w:t>La gestione del rischio</w:t>
      </w:r>
    </w:p>
    <w:p>
      <w:pPr>
        <w:pStyle w:val="NormalWeb"/>
        <w:spacing w:lineRule="exact" w:line="280" w:beforeAutospacing="0" w:before="24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processo di gestione del rischio relativo alle aree individuate nelle pagine precedenti è stato operato attraverso le seguenti fasi:</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a) Analisi del contesto (esterno ed interno; mappatura dei processi);</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b) Valutazione del rischio (identificazione, analisi e ponderazione del rischio);</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c) Trattamento del rischio.</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Individuate le aree a rischio, si è proceduto ad effettuare un'analisi del contesto interno ed esterno con conseguente mappatura dei processi decisionali ritenuti maggiormente esposti al rischio di pratiche e condotte corruttive, come peraltro già previsto dall’Aggiornamento al Piano Nazionale Anticorruzione 2015 (Determinazione ANAC n. 12 del 28/10/2015).</w:t>
      </w:r>
    </w:p>
    <w:p>
      <w:pPr>
        <w:pStyle w:val="NormalWeb"/>
        <w:spacing w:lineRule="exact" w:line="28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La mappatura dei processi operata in collaborazione con i Responsabili dei servizi dell’Ente è riportata nell’allegato 3 al PTPCT 2022-2024, adottato dal Comune con deliberazione della Giunta Comunale n. 36/2022, al quale si rinvia.</w:t>
      </w:r>
    </w:p>
    <w:p>
      <w:pPr>
        <w:pStyle w:val="Normal"/>
        <w:spacing w:before="0" w:after="120"/>
        <w:jc w:val="both"/>
        <w:rPr>
          <w:rFonts w:ascii="Arial" w:hAnsi="Arial"/>
          <w:sz w:val="22"/>
          <w:szCs w:val="22"/>
        </w:rPr>
      </w:pPr>
      <w:r>
        <w:rPr>
          <w:rFonts w:eastAsia="Times New Roman" w:cs="Arial" w:ascii="Arial" w:hAnsi="Arial"/>
          <w:sz w:val="22"/>
          <w:szCs w:val="22"/>
          <w:lang w:eastAsia="it-IT"/>
        </w:rPr>
        <w:t>In logica di priorità, sono stati selezionati dai Responsabili di Settore i processi che, in funzione della situazione specifica del Comune, presentano possibili rischi per l’integrità, classificando tali rischi in relazione al grado di “pericolosità” ai fini delle norme anti-corruzione.</w:t>
      </w:r>
    </w:p>
    <w:p>
      <w:pPr>
        <w:pStyle w:val="Default"/>
        <w:spacing w:before="0" w:after="120"/>
        <w:jc w:val="both"/>
        <w:rPr>
          <w:rFonts w:ascii="Arial" w:hAnsi="Arial"/>
          <w:sz w:val="22"/>
          <w:szCs w:val="22"/>
        </w:rPr>
      </w:pPr>
      <w:r>
        <w:rPr>
          <w:rFonts w:cs="Arial" w:ascii="Arial" w:hAnsi="Arial"/>
          <w:sz w:val="22"/>
          <w:szCs w:val="22"/>
        </w:rPr>
        <w:t>L’analisi – già dalla prima stesura del Piano- ha contemplato sia i processi appartenenti alle aree di rischio “obbligatorie” (già presenti nel PNA) che quelli appartenenti alle aree di rischio “generali” e “specifiche” (per gli Enti locali lo smaltimento dei rifiuti e la pianificazione urbanistica) successivamente introdotti dall’Aggiornamento 2015 al PNA.</w:t>
      </w:r>
    </w:p>
    <w:p>
      <w:pPr>
        <w:pStyle w:val="Default"/>
        <w:jc w:val="both"/>
        <w:rPr>
          <w:rFonts w:ascii="Arial" w:hAnsi="Arial"/>
          <w:sz w:val="22"/>
          <w:szCs w:val="22"/>
        </w:rPr>
      </w:pPr>
      <w:r>
        <w:rPr>
          <w:rFonts w:cs="Arial" w:ascii="Arial" w:hAnsi="Arial"/>
          <w:sz w:val="22"/>
          <w:szCs w:val="22"/>
        </w:rPr>
        <w:t>Come previsto dallo stesso Aggiornamento 2015 al PNA, è stata effettuata anche la mappatura dei processi dell’Ente, a fini dell’identificazione, della valutazione e del trattamento dei rischi corruttivi; attraverso l’individuazione delle responsabilità e delle strutture organizzative che intervengono all’interno dei processi e la descrizione delle diverse fasi del flusso e delle interrelazioni tra le varie attività, la mappatura permette infatti di sintetizzare e rendere intellegibili le informazioni raccolte per ciascun processo. Sono stati mappati tutti i processi per Struttura (partendo da quelli considerati più “critici” sotto il profilo del rischio corruttivo) tramite descrizione del flusso e l’attività di mappatura è stata completata, come previsto dall’Aggiornamento 2015 al PNA, entro il 2017.La mappatura ha consentito di attuare, da parte dei Responsabili di Settore coordinati dal RPCT, una verifica approfondita dei processi a rischio e delle misure di prevenzione già definiti nei precedenti PTPCT. Le risultanze di tale impegnativa attività sono contenute nell’allegato 3 al PTPCT 2022-2024 (come richiesto da Anac con la determinazione n. 12 del 2015).</w:t>
      </w:r>
    </w:p>
    <w:p>
      <w:pPr>
        <w:pStyle w:val="Normal"/>
        <w:jc w:val="both"/>
        <w:rPr>
          <w:rFonts w:ascii="Arial" w:hAnsi="Arial"/>
          <w:sz w:val="22"/>
          <w:szCs w:val="22"/>
        </w:rPr>
      </w:pPr>
      <w:r>
        <w:rPr>
          <w:rFonts w:eastAsia="Times New Roman" w:cs="Arial" w:ascii="Arial" w:hAnsi="Arial"/>
          <w:sz w:val="22"/>
          <w:szCs w:val="22"/>
          <w:lang w:eastAsia="it-IT"/>
        </w:rPr>
        <w:t xml:space="preserve">In coerenza con quanto previsto dal D.lgs. 231/2001 e con le conclusioni della Commissione di Studio su trasparenza e corruzione (rapporto del 30 gennaio 2012), sono state attuate in tale selezione metodologie proprie del </w:t>
      </w:r>
      <w:r>
        <w:rPr>
          <w:rFonts w:eastAsia="Times New Roman" w:cs="Arial" w:ascii="Arial" w:hAnsi="Arial"/>
          <w:i/>
          <w:sz w:val="22"/>
          <w:szCs w:val="22"/>
          <w:lang w:eastAsia="it-IT"/>
        </w:rPr>
        <w:t>risk management</w:t>
      </w:r>
      <w:r>
        <w:rPr>
          <w:rFonts w:eastAsia="Times New Roman" w:cs="Arial" w:ascii="Arial" w:hAnsi="Arial"/>
          <w:sz w:val="22"/>
          <w:szCs w:val="22"/>
          <w:lang w:eastAsia="it-IT"/>
        </w:rPr>
        <w:t xml:space="preserve"> (gestione del rischio), nella valutazione della priorità dei rischi, caratterizzando ogni processo in base ad un indice di rischio in grado di misurare il suo specifico livello di criticità e di poterlo quindi successivamente comparare con il livello di criticità degli altri processi. </w:t>
      </w:r>
    </w:p>
    <w:p>
      <w:pPr>
        <w:pStyle w:val="Normal"/>
        <w:jc w:val="both"/>
        <w:rPr>
          <w:rFonts w:eastAsia="Times New Roman" w:cs="Arial"/>
          <w:lang w:eastAsia="it-IT"/>
        </w:rPr>
      </w:pPr>
      <w:r>
        <w:rPr>
          <w:rFonts w:eastAsia="Times New Roman" w:cs="Arial"/>
          <w:lang w:eastAsia="it-IT"/>
        </w:rPr>
      </w:r>
    </w:p>
    <w:p>
      <w:pPr>
        <w:pStyle w:val="Normal"/>
        <w:jc w:val="both"/>
        <w:rPr>
          <w:rFonts w:ascii="Arial" w:hAnsi="Arial"/>
          <w:sz w:val="22"/>
          <w:szCs w:val="22"/>
        </w:rPr>
      </w:pPr>
      <w:r>
        <w:rPr>
          <w:rFonts w:eastAsia="Times New Roman" w:cs="Arial" w:ascii="Arial" w:hAnsi="Arial"/>
          <w:sz w:val="22"/>
          <w:szCs w:val="22"/>
          <w:lang w:eastAsia="it-IT"/>
        </w:rPr>
        <w:t xml:space="preserve">Il modello adottato per la pesatura del rischio </w:t>
      </w:r>
      <w:r>
        <w:rPr>
          <w:rFonts w:cs="Arial" w:ascii="Arial" w:hAnsi="Arial"/>
          <w:sz w:val="22"/>
          <w:szCs w:val="22"/>
        </w:rPr>
        <w:t>prevede che un rischio sia analizzato secondo due dimensioni:</w:t>
      </w:r>
    </w:p>
    <w:p>
      <w:pPr>
        <w:pStyle w:val="Normal"/>
        <w:numPr>
          <w:ilvl w:val="0"/>
          <w:numId w:val="8"/>
        </w:numPr>
        <w:jc w:val="both"/>
        <w:rPr>
          <w:rFonts w:ascii="Arial" w:hAnsi="Arial"/>
          <w:sz w:val="22"/>
          <w:szCs w:val="22"/>
        </w:rPr>
      </w:pPr>
      <w:r>
        <w:rPr>
          <w:rFonts w:cs="Arial" w:ascii="Arial" w:hAnsi="Arial"/>
          <w:sz w:val="22"/>
          <w:szCs w:val="22"/>
        </w:rPr>
        <w:t>la probabilità di accadimento, cioè la stima di quanto è probabile che il rischio si manifesti in quel processo, in relazione ad esempio alla presenza di discrezionalità, di fasi decisionali o di attività esterne a contatto con l’utente;</w:t>
      </w:r>
    </w:p>
    <w:p>
      <w:pPr>
        <w:pStyle w:val="Normal"/>
        <w:numPr>
          <w:ilvl w:val="0"/>
          <w:numId w:val="8"/>
        </w:numPr>
        <w:jc w:val="both"/>
        <w:rPr>
          <w:rFonts w:ascii="Arial" w:hAnsi="Arial"/>
          <w:sz w:val="22"/>
          <w:szCs w:val="22"/>
        </w:rPr>
      </w:pPr>
      <w:r>
        <w:rPr>
          <w:rFonts w:cs="Arial" w:ascii="Arial" w:hAnsi="Arial"/>
          <w:sz w:val="22"/>
          <w:szCs w:val="22"/>
        </w:rPr>
        <w:t>l’impatto dell’accadimento, cioè la stima dell’entità del danno –materiale o di immagine- connesso all’eventualità che il rischio si concretizzi.</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sz w:val="22"/>
          <w:szCs w:val="22"/>
        </w:rPr>
      </w:pPr>
      <w:r>
        <w:rPr>
          <w:rFonts w:cs="Arial" w:ascii="Arial" w:hAnsi="Arial"/>
          <w:sz w:val="22"/>
          <w:szCs w:val="22"/>
        </w:rPr>
        <w:t>Nel PTPCT 2021-2022 è stato applicato per la prima volta un approccio qualitativo nella fase di analisi degli eventi rischiosi, come prescritto dall’allegato 1 al PNA 2019.Tenendo conto dell’analisi effettuata finora, sono stati mantenuti i fattori di stima della probabilità e dell’impatto, costruendo il nuovo sistema su sette indicatori di probabilità e su tre indicatori di impatto, con una scala di valutazione così strutturata: 1-BASSO, 2-MEDIO, 3-ALTO.</w:t>
      </w:r>
    </w:p>
    <w:p>
      <w:pPr>
        <w:pStyle w:val="Normal"/>
        <w:jc w:val="both"/>
        <w:rPr/>
      </w:pPr>
      <w:r>
        <w:rPr>
          <w:rFonts w:ascii="Arial" w:hAnsi="Arial"/>
          <w:sz w:val="22"/>
          <w:szCs w:val="22"/>
        </w:rPr>
        <w:t>L’identificazione del livello di rischio di ciascun processo avviene attraverso la combinazione logica dei due fattori, prendendo per ciascun fattore l’indice massimo, secondo i criteri indicati nella tabella seguente:</w:t>
      </w:r>
    </w:p>
    <w:p>
      <w:pPr>
        <w:pStyle w:val="Normal"/>
        <w:rPr>
          <w:rFonts w:ascii="Arial" w:hAnsi="Arial"/>
          <w:sz w:val="22"/>
          <w:szCs w:val="22"/>
        </w:rPr>
      </w:pPr>
      <w:r>
        <w:rPr>
          <w:rFonts w:ascii="Arial" w:hAnsi="Arial"/>
          <w:sz w:val="22"/>
          <w:szCs w:val="22"/>
        </w:rPr>
      </w:r>
    </w:p>
    <w:tbl>
      <w:tblPr>
        <w:tblW w:w="9788" w:type="dxa"/>
        <w:jc w:val="left"/>
        <w:tblInd w:w="211" w:type="dxa"/>
        <w:tblLayout w:type="fixed"/>
        <w:tblCellMar>
          <w:top w:w="0" w:type="dxa"/>
          <w:left w:w="103" w:type="dxa"/>
          <w:bottom w:w="0" w:type="dxa"/>
          <w:right w:w="108" w:type="dxa"/>
        </w:tblCellMar>
        <w:tblLook w:val="04a0"/>
      </w:tblPr>
      <w:tblGrid>
        <w:gridCol w:w="3259"/>
        <w:gridCol w:w="3250"/>
        <w:gridCol w:w="3279"/>
      </w:tblGrid>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b/>
                <w:sz w:val="22"/>
                <w:szCs w:val="22"/>
              </w:rPr>
            </w:pPr>
            <w:r>
              <w:rPr>
                <w:rFonts w:cs="Arial" w:ascii="Arial" w:hAnsi="Arial"/>
                <w:b/>
                <w:sz w:val="22"/>
                <w:szCs w:val="22"/>
              </w:rPr>
              <w:t>MASSIMA PROBABILITA’</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b/>
                <w:sz w:val="22"/>
                <w:szCs w:val="22"/>
              </w:rPr>
            </w:pPr>
            <w:r>
              <w:rPr>
                <w:rFonts w:cs="Arial" w:ascii="Arial" w:hAnsi="Arial"/>
                <w:b/>
                <w:sz w:val="22"/>
                <w:szCs w:val="22"/>
              </w:rPr>
              <w:t>MASSIMO IMPATTO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b/>
                <w:sz w:val="22"/>
                <w:szCs w:val="22"/>
              </w:rPr>
            </w:pPr>
            <w:r>
              <w:rPr>
                <w:rFonts w:cs="Arial" w:ascii="Arial" w:hAnsi="Arial"/>
                <w:b/>
                <w:sz w:val="22"/>
                <w:szCs w:val="22"/>
              </w:rPr>
              <w:t>LIVELLO DI RISCHIO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1-Basso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1-Basso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green"/>
              </w:rPr>
            </w:pPr>
            <w:r>
              <w:rPr>
                <w:rFonts w:cs="Arial" w:ascii="Arial" w:hAnsi="Arial"/>
                <w:sz w:val="22"/>
                <w:szCs w:val="22"/>
                <w:highlight w:val="green"/>
              </w:rPr>
              <w:t>1-Basso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1-Basso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2-Medio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green"/>
              </w:rPr>
            </w:pPr>
            <w:r>
              <w:rPr>
                <w:rFonts w:cs="Arial" w:ascii="Arial" w:hAnsi="Arial"/>
                <w:sz w:val="22"/>
                <w:szCs w:val="22"/>
                <w:highlight w:val="green"/>
              </w:rPr>
              <w:t>1-Basso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1-Basso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3-Alto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yellow"/>
              </w:rPr>
            </w:pPr>
            <w:r>
              <w:rPr>
                <w:rFonts w:cs="Arial" w:ascii="Arial" w:hAnsi="Arial"/>
                <w:sz w:val="22"/>
                <w:szCs w:val="22"/>
                <w:highlight w:val="yellow"/>
              </w:rPr>
              <w:t>2-Medio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2-Medio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1-Basso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green"/>
              </w:rPr>
            </w:pPr>
            <w:r>
              <w:rPr>
                <w:rFonts w:cs="Arial" w:ascii="Arial" w:hAnsi="Arial"/>
                <w:sz w:val="22"/>
                <w:szCs w:val="22"/>
                <w:highlight w:val="green"/>
              </w:rPr>
              <w:t>1-Basso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2-Medio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2-Medio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yellow"/>
              </w:rPr>
            </w:pPr>
            <w:r>
              <w:rPr>
                <w:rFonts w:cs="Arial" w:ascii="Arial" w:hAnsi="Arial"/>
                <w:sz w:val="22"/>
                <w:szCs w:val="22"/>
                <w:highlight w:val="yellow"/>
              </w:rPr>
              <w:t>2-Medio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2-Medio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3-Alto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red"/>
              </w:rPr>
            </w:pPr>
            <w:r>
              <w:rPr>
                <w:rFonts w:cs="Arial" w:ascii="Arial" w:hAnsi="Arial"/>
                <w:sz w:val="22"/>
                <w:szCs w:val="22"/>
                <w:highlight w:val="red"/>
              </w:rPr>
              <w:t>3-Alto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3-Alto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1-Basso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yellow"/>
              </w:rPr>
            </w:pPr>
            <w:r>
              <w:rPr>
                <w:rFonts w:cs="Arial" w:ascii="Arial" w:hAnsi="Arial"/>
                <w:sz w:val="22"/>
                <w:szCs w:val="22"/>
                <w:highlight w:val="yellow"/>
              </w:rPr>
              <w:t>2-Medio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3-Alto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2-Medio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red"/>
              </w:rPr>
            </w:pPr>
            <w:r>
              <w:rPr>
                <w:rFonts w:cs="Arial" w:ascii="Arial" w:hAnsi="Arial"/>
                <w:sz w:val="22"/>
                <w:szCs w:val="22"/>
                <w:highlight w:val="red"/>
              </w:rPr>
              <w:t>3-Alto</w:t>
            </w:r>
          </w:p>
        </w:tc>
      </w:tr>
      <w:tr>
        <w:trPr/>
        <w:tc>
          <w:tcPr>
            <w:tcW w:w="3259"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3-Alto</w:t>
            </w:r>
          </w:p>
        </w:tc>
        <w:tc>
          <w:tcPr>
            <w:tcW w:w="3250" w:type="dxa"/>
            <w:tcBorders>
              <w:top w:val="single" w:sz="4" w:space="0" w:color="000001"/>
              <w:left w:val="single" w:sz="4" w:space="0" w:color="000001"/>
              <w:bottom w:val="single" w:sz="4" w:space="0" w:color="000001"/>
            </w:tcBorders>
            <w:shd w:color="auto" w:fill="auto" w:val="clear"/>
          </w:tcPr>
          <w:p>
            <w:pPr>
              <w:pStyle w:val="Normal"/>
              <w:rPr>
                <w:rFonts w:ascii="Arial" w:hAnsi="Arial" w:cs="Arial"/>
                <w:sz w:val="22"/>
                <w:szCs w:val="22"/>
              </w:rPr>
            </w:pPr>
            <w:r>
              <w:rPr>
                <w:rFonts w:cs="Arial" w:ascii="Arial" w:hAnsi="Arial"/>
                <w:sz w:val="22"/>
                <w:szCs w:val="22"/>
              </w:rPr>
              <w:t>3-Alto</w:t>
            </w:r>
          </w:p>
        </w:tc>
        <w:tc>
          <w:tcPr>
            <w:tcW w:w="3279" w:type="dxa"/>
            <w:tcBorders>
              <w:top w:val="single" w:sz="4" w:space="0" w:color="000001"/>
              <w:left w:val="single" w:sz="4" w:space="0" w:color="000001"/>
              <w:bottom w:val="single" w:sz="4" w:space="0" w:color="000001"/>
              <w:right w:val="single" w:sz="4" w:space="0" w:color="000001"/>
            </w:tcBorders>
            <w:shd w:color="auto" w:fill="auto" w:val="clear"/>
          </w:tcPr>
          <w:p>
            <w:pPr>
              <w:pStyle w:val="Normal"/>
              <w:rPr>
                <w:rFonts w:ascii="Arial" w:hAnsi="Arial" w:cs="Arial"/>
                <w:sz w:val="22"/>
                <w:szCs w:val="22"/>
                <w:highlight w:val="red"/>
              </w:rPr>
            </w:pPr>
            <w:r>
              <w:rPr>
                <w:rFonts w:cs="Arial" w:ascii="Arial" w:hAnsi="Arial"/>
                <w:sz w:val="22"/>
                <w:szCs w:val="22"/>
                <w:highlight w:val="red"/>
              </w:rPr>
              <w:t>3-Alto</w:t>
            </w:r>
          </w:p>
        </w:tc>
      </w:tr>
    </w:tbl>
    <w:p>
      <w:pPr>
        <w:pStyle w:val="Normal"/>
        <w:spacing w:lineRule="exact" w:line="280" w:before="240" w:after="0"/>
        <w:rPr>
          <w:rFonts w:ascii="Arial" w:hAnsi="Arial" w:cs="Arial"/>
          <w:sz w:val="22"/>
          <w:szCs w:val="22"/>
        </w:rPr>
      </w:pPr>
      <w:r>
        <w:rPr>
          <w:rFonts w:cs="Arial" w:ascii="Arial" w:hAnsi="Arial"/>
          <w:sz w:val="22"/>
          <w:szCs w:val="22"/>
        </w:rPr>
      </w:r>
    </w:p>
    <w:p>
      <w:pPr>
        <w:pStyle w:val="Normal"/>
        <w:spacing w:lineRule="exact" w:line="280" w:before="240" w:after="0"/>
        <w:rPr>
          <w:rFonts w:ascii="Arial" w:hAnsi="Arial" w:eastAsia="" w:cs="Arial" w:eastAsiaTheme="majorEastAsia"/>
          <w:color w:themeColor="accent1" w:themeShade="bf" w:val="2F5496"/>
        </w:rPr>
      </w:pPr>
      <w:r>
        <w:rPr>
          <w:rFonts w:eastAsia="" w:cs="Arial" w:ascii="Arial" w:hAnsi="Arial" w:eastAsiaTheme="majorEastAsia"/>
          <w:color w:themeColor="accent1" w:themeShade="bf" w:val="2F5496"/>
        </w:rPr>
        <w:t>Progettazione di misure organizzative per il trattamento del rischio.</w:t>
      </w:r>
    </w:p>
    <w:p>
      <w:pPr>
        <w:pStyle w:val="NormalWeb"/>
        <w:tabs>
          <w:tab w:val="clear" w:pos="720"/>
          <w:tab w:val="left" w:pos="1440" w:leader="none"/>
        </w:tabs>
        <w:spacing w:lineRule="exact" w:line="260" w:beforeAutospacing="0" w:before="120" w:afterAutospacing="0" w:after="280"/>
        <w:jc w:val="both"/>
        <w:rPr>
          <w:rFonts w:ascii="Arial" w:hAnsi="Arial" w:eastAsia="Calibri" w:cs="Arial" w:eastAsiaTheme="minorHAnsi"/>
          <w:sz w:val="22"/>
          <w:szCs w:val="22"/>
          <w:lang w:eastAsia="en-US"/>
        </w:rPr>
      </w:pPr>
      <w:r>
        <w:rPr>
          <w:rFonts w:eastAsia="Calibri" w:cs="Arial" w:ascii="Arial" w:hAnsi="Arial" w:eastAsiaTheme="minorHAnsi"/>
          <w:color w:val="000000"/>
          <w:sz w:val="22"/>
          <w:szCs w:val="22"/>
          <w:lang w:eastAsia="en-US"/>
        </w:rPr>
        <w:t>Il processo di "gestione del rischio" si conclude con il "trattamento" del rischio che consiste nell'identificazione ed individuazione delle misure o meccanismi per neutralizzare o almeno ridurre il rischio di corruzione.</w:t>
      </w:r>
    </w:p>
    <w:p>
      <w:pPr>
        <w:pStyle w:val="Normal"/>
        <w:tabs>
          <w:tab w:val="clear" w:pos="720"/>
          <w:tab w:val="left" w:pos="1440" w:leader="none"/>
        </w:tabs>
        <w:jc w:val="both"/>
        <w:rPr>
          <w:sz w:val="22"/>
          <w:szCs w:val="22"/>
        </w:rPr>
      </w:pPr>
      <w:r>
        <w:rPr>
          <w:rFonts w:cs="Arial" w:ascii="Arial" w:hAnsi="Arial"/>
          <w:sz w:val="22"/>
          <w:szCs w:val="22"/>
        </w:rPr>
        <w:t>Per ognuno dei proce</w:t>
      </w:r>
      <w:r>
        <w:rPr>
          <w:rFonts w:cs="Arial" w:ascii="Arial" w:hAnsi="Arial"/>
          <w:color w:val="000000"/>
          <w:sz w:val="22"/>
          <w:szCs w:val="22"/>
        </w:rPr>
        <w:t>ssi della mappa identificato come “critico” in relazione al proprio indice di rischio, è stato definito un piano di azioni che contempli almeno una azione per ogni rischio stimato come prevedibile (cioè con indice di rischio “alto” o “medio”, ma in alcuni casi anche “basso” ma meritevole di attenzione), progettando e sviluppando gli strumenti che rendano efficace tale azione o citando gli strumenti già in essere.</w:t>
      </w:r>
    </w:p>
    <w:p>
      <w:pPr>
        <w:pStyle w:val="Normal"/>
        <w:tabs>
          <w:tab w:val="clear" w:pos="720"/>
          <w:tab w:val="left" w:pos="1440" w:leader="none"/>
        </w:tabs>
        <w:spacing w:lineRule="exact" w:line="260" w:before="120" w:after="0"/>
        <w:jc w:val="both"/>
        <w:rPr>
          <w:rFonts w:ascii="Arial" w:hAnsi="Arial" w:cs="Arial"/>
          <w:sz w:val="22"/>
          <w:szCs w:val="22"/>
        </w:rPr>
      </w:pPr>
      <w:r>
        <w:rPr>
          <w:rFonts w:cs="Arial" w:ascii="Arial" w:hAnsi="Arial"/>
          <w:color w:val="000000"/>
          <w:sz w:val="22"/>
          <w:szCs w:val="22"/>
        </w:rPr>
        <w:t xml:space="preserve">Più specificatamente, per ogni azione prevista e non attualmente in essere, sono stati evidenziati la previsione dei tempi e le responsabilità attuative per la sua realizzazione e messa a regime – in logica di </w:t>
      </w:r>
      <w:r>
        <w:rPr>
          <w:rFonts w:cs="Arial" w:ascii="Arial" w:hAnsi="Arial"/>
          <w:i/>
          <w:color w:val="000000"/>
          <w:sz w:val="22"/>
          <w:szCs w:val="22"/>
        </w:rPr>
        <w:t>project management</w:t>
      </w:r>
      <w:r>
        <w:rPr>
          <w:rFonts w:cs="Arial" w:ascii="Arial" w:hAnsi="Arial"/>
          <w:color w:val="000000"/>
          <w:sz w:val="22"/>
          <w:szCs w:val="22"/>
        </w:rPr>
        <w:t>. Laddove la realizzazione dell’azione lo consentisse sono stati previsti indicatori che in ogni caso rimandano alla misura operata su quegli obiettivi all’interno dei documenti di programmazione. Tale strutturazione delle azioni e quantificazione dei risultati attesi rende possibile il monitoraggio periodico del Piano di preven</w:t>
      </w:r>
      <w:r>
        <w:rPr>
          <w:rFonts w:cs="Arial" w:ascii="Arial" w:hAnsi="Arial"/>
          <w:sz w:val="22"/>
          <w:szCs w:val="22"/>
        </w:rPr>
        <w:t xml:space="preserve">zione della corruzione, in relazione alle scadenze temporali e alle responsabilità delle azioni e dei sistemi di controllo messe in evidenza nel piano stesso. Attraverso l’attività di monitoraggio e valutazione dell’attuazione del Piano sarà possibile migliorare nel tempo la sua formalizzazione e la sua efficacia. </w:t>
      </w:r>
    </w:p>
    <w:p>
      <w:pPr>
        <w:pStyle w:val="NormalWeb"/>
        <w:spacing w:lineRule="exact" w:line="260" w:beforeAutospacing="0" w:before="120" w:afterAutospacing="0" w:after="280"/>
        <w:jc w:val="both"/>
        <w:rPr>
          <w:rFonts w:ascii="Arial" w:hAnsi="Arial" w:eastAsia="Calibri" w:cs="Arial" w:eastAsiaTheme="minorHAnsi"/>
          <w:sz w:val="22"/>
          <w:szCs w:val="22"/>
          <w:lang w:eastAsia="en-US"/>
        </w:rPr>
      </w:pPr>
      <w:r>
        <w:rPr>
          <w:rFonts w:eastAsia="Calibri" w:cs="Arial" w:eastAsiaTheme="minorHAnsi" w:ascii="Arial" w:hAnsi="Arial"/>
          <w:sz w:val="22"/>
          <w:szCs w:val="22"/>
          <w:lang w:eastAsia="en-US"/>
        </w:rPr>
      </w:r>
    </w:p>
    <w:p>
      <w:pPr>
        <w:pStyle w:val="NormalWeb"/>
        <w:spacing w:lineRule="exact" w:line="260" w:beforeAutospacing="0" w:before="120" w:afterAutospacing="0" w:after="280"/>
        <w:jc w:val="both"/>
        <w:rPr>
          <w:rFonts w:ascii="Arial" w:hAnsi="Arial" w:eastAsia="Calibri" w:cs="Arial" w:eastAsiaTheme="minorHAnsi"/>
          <w:color w:val="000000"/>
          <w:sz w:val="22"/>
          <w:szCs w:val="22"/>
          <w:lang w:eastAsia="en-US"/>
        </w:rPr>
      </w:pPr>
      <w:r>
        <w:rPr>
          <w:rFonts w:eastAsia="Calibri" w:cs="Arial" w:ascii="Arial" w:hAnsi="Arial" w:eastAsiaTheme="minorHAnsi"/>
          <w:color w:val="000000"/>
          <w:sz w:val="22"/>
          <w:szCs w:val="22"/>
          <w:lang w:eastAsia="en-US"/>
        </w:rPr>
        <w:t xml:space="preserve">Al riguardo le </w:t>
      </w:r>
      <w:r>
        <w:rPr>
          <w:rFonts w:eastAsia="Calibri" w:cs="Arial" w:ascii="Arial" w:hAnsi="Arial" w:eastAsiaTheme="minorHAnsi"/>
          <w:b/>
          <w:color w:val="000000"/>
          <w:sz w:val="22"/>
          <w:szCs w:val="22"/>
          <w:lang w:eastAsia="en-US"/>
        </w:rPr>
        <w:t>misure di carattere generale</w:t>
      </w:r>
      <w:r>
        <w:rPr>
          <w:rFonts w:eastAsia="Calibri" w:cs="Arial" w:ascii="Arial" w:hAnsi="Arial" w:eastAsiaTheme="minorHAnsi"/>
          <w:color w:val="000000"/>
          <w:sz w:val="22"/>
          <w:szCs w:val="22"/>
          <w:lang w:eastAsia="en-US"/>
        </w:rPr>
        <w:t xml:space="preserve"> ed ulteriori di seguito indicate costituiscono gli interventi principali in materia di prevenzione dei rischi.</w:t>
      </w:r>
    </w:p>
    <w:p>
      <w:pPr>
        <w:pStyle w:val="NormalWeb"/>
        <w:spacing w:lineRule="exact" w:line="260" w:beforeAutospacing="0" w:before="120" w:afterAutospacing="0" w:after="280"/>
        <w:jc w:val="both"/>
        <w:rPr>
          <w:rFonts w:ascii="Arial" w:hAnsi="Arial" w:eastAsia="Calibri" w:cs="Arial" w:eastAsiaTheme="minorHAnsi"/>
          <w:color w:val="000000"/>
          <w:sz w:val="22"/>
          <w:szCs w:val="22"/>
          <w:lang w:eastAsia="en-US"/>
        </w:rPr>
      </w:pPr>
      <w:r>
        <w:rPr>
          <w:rFonts w:eastAsia="Calibri" w:cs="Arial" w:eastAsiaTheme="minorHAnsi" w:ascii="Arial" w:hAnsi="Arial"/>
          <w:color w:val="000000"/>
          <w:sz w:val="22"/>
          <w:szCs w:val="22"/>
          <w:lang w:eastAsia="en-US"/>
        </w:rPr>
      </w:r>
    </w:p>
    <w:p>
      <w:pPr>
        <w:pStyle w:val="Default"/>
        <w:jc w:val="both"/>
        <w:rPr>
          <w:rFonts w:ascii="Arial" w:hAnsi="Arial" w:cs="Arial"/>
          <w:sz w:val="22"/>
          <w:szCs w:val="22"/>
        </w:rPr>
      </w:pPr>
      <w:r>
        <w:rPr>
          <w:rFonts w:cs="Arial" w:ascii="Arial" w:hAnsi="Arial"/>
          <w:color w:val="00000A"/>
          <w:sz w:val="22"/>
          <w:szCs w:val="22"/>
        </w:rPr>
        <w:t xml:space="preserve">- Per quanto concerne la </w:t>
      </w:r>
      <w:r>
        <w:rPr>
          <w:rFonts w:cs="Arial" w:ascii="Arial" w:hAnsi="Arial"/>
          <w:b/>
          <w:color w:val="00000A"/>
          <w:sz w:val="22"/>
          <w:szCs w:val="22"/>
        </w:rPr>
        <w:t>rotazione ordinaria del personale</w:t>
      </w:r>
      <w:r>
        <w:rPr>
          <w:rFonts w:cs="Arial" w:ascii="Arial" w:hAnsi="Arial"/>
          <w:color w:val="00000A"/>
          <w:sz w:val="22"/>
          <w:szCs w:val="22"/>
        </w:rPr>
        <w:t xml:space="preserve">, in relazione alle dimensioni dell’Ente, </w:t>
      </w:r>
      <w:r>
        <w:rPr>
          <w:rFonts w:cs="Arial" w:ascii="Arial" w:hAnsi="Arial"/>
          <w:color w:val="00000A"/>
          <w:sz w:val="22"/>
          <w:szCs w:val="22"/>
          <w:highlight w:val="white"/>
        </w:rPr>
        <w:t>la rotazione del personale apicale appare molto difficile da percorrere. L’Amministrazione si impegna comunque a valutare ogni anno per quali posizioni è opportuno e possibile prevedere misure atte ad evitare che il soggetto non sottoposto a rotazione abbia il controllo esclusivo dei processi, specie di quelli più esposti al rischio di corruzione. Come suggerito dal Piano Nazionale Anticorruzione 2016, al paragrafo 7.2.2 e ribadito dal PNA 2019 (Allegato 2 Par. 5), sono state sviluppate altre misure organizzative di prevenzione, aventi un effetto analogo a quello della rotazione, quali quelle di trasparenza. In particolare, relativamente al Settore Edilizia ed Urbanistica ed al Settore Lavori pubblici è già in atto il criterio della c.d.“segregazione di funzioni”, che consiste nell’affidamento delle varie fasi del procedimento a persone diverse. Pertanto, laddove possibile, la responsabilità del procedimento viene assegnata ad un dipendente diverso dal responsabile di Settore, cui compete l’adozione del provvedimento finale. Qualora ritenuto opportuno, i Responsabili di Settore possono comunque riportare, tra le azioni specifiche a corredo della mappatura dei rischi, le opportunità di rotazione del personale ipotizzabili nel breve periodo.</w:t>
      </w:r>
    </w:p>
    <w:p>
      <w:pPr>
        <w:pStyle w:val="Default"/>
        <w:jc w:val="both"/>
        <w:rPr>
          <w:rFonts w:ascii="Arial" w:hAnsi="Arial" w:cs="Arial"/>
          <w:color w:val="00000A"/>
          <w:sz w:val="22"/>
          <w:szCs w:val="22"/>
        </w:rPr>
      </w:pPr>
      <w:r>
        <w:rPr>
          <w:rFonts w:cs="Arial" w:ascii="Arial" w:hAnsi="Arial"/>
          <w:color w:val="00000A"/>
          <w:sz w:val="22"/>
          <w:szCs w:val="22"/>
          <w:highlight w:val="white"/>
        </w:rPr>
        <w:t>Il RPCT effettua annualmente il monitoraggio sull’attuazione delle misure di rotazione previste e sul loro coordinamento con le misure di formazione.</w:t>
      </w:r>
    </w:p>
    <w:p>
      <w:pPr>
        <w:pStyle w:val="Default"/>
        <w:rPr>
          <w:rFonts w:ascii="Arial" w:hAnsi="Arial" w:cs="Arial"/>
          <w:sz w:val="22"/>
          <w:szCs w:val="22"/>
        </w:rPr>
      </w:pPr>
      <w:r>
        <w:rPr>
          <w:rFonts w:cs="Arial" w:ascii="Arial" w:hAnsi="Arial"/>
          <w:sz w:val="22"/>
          <w:szCs w:val="22"/>
        </w:rPr>
      </w:r>
    </w:p>
    <w:p>
      <w:pPr>
        <w:pStyle w:val="Normal"/>
        <w:spacing w:before="0" w:after="198"/>
        <w:jc w:val="both"/>
        <w:rPr>
          <w:rFonts w:ascii="Arial" w:hAnsi="Arial" w:cs="Arial"/>
          <w:sz w:val="22"/>
          <w:szCs w:val="22"/>
        </w:rPr>
      </w:pPr>
      <w:r>
        <w:rPr>
          <w:rFonts w:cs="Arial" w:ascii="Arial" w:hAnsi="Arial"/>
          <w:sz w:val="22"/>
          <w:szCs w:val="22"/>
        </w:rPr>
        <w:t xml:space="preserve">- </w:t>
      </w:r>
      <w:r>
        <w:rPr>
          <w:rFonts w:cs="Arial" w:ascii="Arial" w:hAnsi="Arial"/>
          <w:sz w:val="22"/>
          <w:szCs w:val="22"/>
          <w:highlight w:val="white"/>
        </w:rPr>
        <w:t xml:space="preserve">Per quanto concerne la </w:t>
      </w:r>
      <w:r>
        <w:rPr>
          <w:rFonts w:cs="Arial" w:ascii="Arial" w:hAnsi="Arial"/>
          <w:b/>
          <w:sz w:val="22"/>
          <w:szCs w:val="22"/>
          <w:highlight w:val="white"/>
        </w:rPr>
        <w:t>rotazione straordinaria</w:t>
      </w:r>
      <w:r>
        <w:rPr>
          <w:rFonts w:cs="Arial" w:ascii="Arial" w:hAnsi="Arial"/>
          <w:sz w:val="22"/>
          <w:szCs w:val="22"/>
          <w:highlight w:val="white"/>
        </w:rPr>
        <w:t xml:space="preserve"> del personale, prevista dall’art. 16, comma 1, lett. 1 quater del D.Lgs. 165/2000 nei casi di avvio di procedimenti penali o disciplinari per condotte di natura corruttiva, si evidenzia che ANAC, con la deliberazione n. 215 del 2019 ha provveduto a fornire indicazioni in merito ai reati presupposto per l’applicazione della misura (individuati in quelli di cui all’art. 7 della Legge n. 69/2015, ovvero gli articoli 317, 318, 319, 319 bis, 319 ter, 319 quater, 320, 321, 322, 322 bis, 346 bis, 353 e 353 bis del Codice Penale ed a precisare che il momento in cui l’Amministrazione deve adottare il provvedimento motivato di eventuale applicazione della misura è quello in cui il soggetto viene iscritto nel registro delle notizie di reato di cui all’art. 335 C.P.P. Pertanto si stabilisce che il dipendente di questa Amministrazione interessato da procedimento penale per uno dei reati di cui sopra segnali al proprio Responsabile di Settore o, per i Responsabili, al Segretario comunale l’avvio di tale procedimento e che la Giunta comunale, prima dell’avvio del procedimento di rotazione, acquisisca sufficienti informazioni atte a valutare l’effettiva gravità del fatto ascritto al dipendente.</w:t>
      </w:r>
    </w:p>
    <w:p>
      <w:pPr>
        <w:pStyle w:val="Normal"/>
        <w:spacing w:before="0" w:after="198"/>
        <w:jc w:val="both"/>
        <w:rPr>
          <w:rFonts w:ascii="Arial" w:hAnsi="Arial" w:cs="Arial"/>
          <w:sz w:val="22"/>
          <w:szCs w:val="22"/>
        </w:rPr>
      </w:pPr>
      <w:r>
        <w:rPr>
          <w:rFonts w:cs="Arial" w:ascii="Arial" w:hAnsi="Arial"/>
          <w:sz w:val="22"/>
          <w:szCs w:val="22"/>
        </w:rPr>
        <w:t xml:space="preserve">- Per quanto concerne l’attuazione della </w:t>
      </w:r>
      <w:r>
        <w:rPr>
          <w:rFonts w:cs="Arial" w:ascii="Arial" w:hAnsi="Arial"/>
          <w:b/>
          <w:bCs/>
          <w:sz w:val="22"/>
          <w:szCs w:val="22"/>
        </w:rPr>
        <w:t>normativa antiriciclaggio e antiterrorismo</w:t>
      </w:r>
      <w:r>
        <w:rPr>
          <w:rFonts w:cs="Arial" w:ascii="Arial" w:hAnsi="Arial"/>
          <w:sz w:val="22"/>
          <w:szCs w:val="22"/>
        </w:rPr>
        <w:t xml:space="preserve"> di cui al D.M. Ministro dell’Interno 25.09.2015, con deliberazione della Giunta comunale n. 106 del 22.11.2016 si è stabilito che:</w:t>
      </w:r>
    </w:p>
    <w:p>
      <w:pPr>
        <w:pStyle w:val="Normal"/>
        <w:numPr>
          <w:ilvl w:val="0"/>
          <w:numId w:val="23"/>
        </w:numPr>
        <w:tabs>
          <w:tab w:val="clear" w:pos="720"/>
          <w:tab w:val="left" w:pos="426" w:leader="none"/>
        </w:tabs>
        <w:suppressAutoHyphens w:val="false"/>
        <w:spacing w:lineRule="auto" w:line="276" w:before="0" w:after="198"/>
        <w:ind w:hanging="426" w:left="426"/>
        <w:jc w:val="both"/>
        <w:rPr>
          <w:rFonts w:ascii="Arial" w:hAnsi="Arial" w:cs="Arial"/>
          <w:sz w:val="22"/>
          <w:szCs w:val="22"/>
        </w:rPr>
      </w:pPr>
      <w:r>
        <w:rPr>
          <w:rFonts w:cs="Arial" w:ascii="Arial" w:hAnsi="Arial"/>
          <w:sz w:val="22"/>
          <w:szCs w:val="22"/>
        </w:rPr>
        <w:t xml:space="preserve">il </w:t>
      </w:r>
      <w:r>
        <w:rPr>
          <w:rFonts w:cs="Arial" w:ascii="Arial" w:hAnsi="Arial"/>
          <w:b/>
          <w:bCs/>
          <w:sz w:val="22"/>
          <w:szCs w:val="22"/>
        </w:rPr>
        <w:t>soggetto “</w:t>
      </w:r>
      <w:r>
        <w:rPr>
          <w:rFonts w:cs="Arial" w:ascii="Arial" w:hAnsi="Arial"/>
          <w:b/>
          <w:bCs/>
          <w:i/>
          <w:iCs/>
          <w:sz w:val="22"/>
          <w:szCs w:val="22"/>
        </w:rPr>
        <w:t>gestore</w:t>
      </w:r>
      <w:r>
        <w:rPr>
          <w:rFonts w:cs="Arial" w:ascii="Arial" w:hAnsi="Arial"/>
          <w:b/>
          <w:bCs/>
          <w:sz w:val="22"/>
          <w:szCs w:val="22"/>
        </w:rPr>
        <w:t xml:space="preserve">” </w:t>
      </w:r>
      <w:r>
        <w:rPr>
          <w:rFonts w:cs="Arial" w:ascii="Arial" w:hAnsi="Arial"/>
          <w:sz w:val="22"/>
          <w:szCs w:val="22"/>
        </w:rPr>
        <w:t>delegato a valutare e a trasmettere le segnalazioni alla UIF (Unità di Informazione Finanziaria per l’Italia presso la Banca d’Italia), ai sensi dell’art. 6, comma 4, del Decreto in argomento, è individuato nel Segretario comunale,</w:t>
      </w:r>
      <w:r>
        <w:rPr>
          <w:rFonts w:cs="Arial" w:ascii="Arial" w:hAnsi="Arial"/>
          <w:b/>
          <w:bCs/>
          <w:sz w:val="22"/>
          <w:szCs w:val="22"/>
        </w:rPr>
        <w:t xml:space="preserve"> Responsabile della prevenzione della corruzione e della trasparenza</w:t>
      </w:r>
      <w:r>
        <w:rPr>
          <w:rFonts w:cs="Arial" w:ascii="Arial" w:hAnsi="Arial"/>
          <w:sz w:val="22"/>
          <w:szCs w:val="22"/>
        </w:rPr>
        <w:t>;</w:t>
      </w:r>
    </w:p>
    <w:p>
      <w:pPr>
        <w:pStyle w:val="Normal"/>
        <w:numPr>
          <w:ilvl w:val="0"/>
          <w:numId w:val="23"/>
        </w:numPr>
        <w:tabs>
          <w:tab w:val="clear" w:pos="720"/>
          <w:tab w:val="left" w:pos="426" w:leader="none"/>
        </w:tabs>
        <w:suppressAutoHyphens w:val="false"/>
        <w:spacing w:lineRule="auto" w:line="276" w:before="0" w:after="198"/>
        <w:ind w:hanging="426" w:left="426"/>
        <w:jc w:val="both"/>
        <w:rPr>
          <w:rFonts w:ascii="Arial" w:hAnsi="Arial" w:cs="Arial"/>
          <w:sz w:val="22"/>
          <w:szCs w:val="22"/>
        </w:rPr>
      </w:pPr>
      <w:r>
        <w:rPr>
          <w:rFonts w:cs="Arial" w:ascii="Arial" w:hAnsi="Arial"/>
          <w:sz w:val="22"/>
          <w:szCs w:val="22"/>
        </w:rPr>
        <w:t xml:space="preserve">tutti i </w:t>
      </w:r>
      <w:r>
        <w:rPr>
          <w:rFonts w:cs="Arial" w:ascii="Arial" w:hAnsi="Arial"/>
          <w:b/>
          <w:bCs/>
          <w:sz w:val="22"/>
          <w:szCs w:val="22"/>
        </w:rPr>
        <w:t>Responsabili di Settore</w:t>
      </w:r>
      <w:r>
        <w:rPr>
          <w:rFonts w:cs="Arial" w:ascii="Arial" w:hAnsi="Arial"/>
          <w:sz w:val="22"/>
          <w:szCs w:val="22"/>
        </w:rPr>
        <w:t>, relativamente al proprio ambito di attività, al verificarsi di una o più delle situazioni di cui agli indicatori di anomalia elencati nell’allegato al D.M. 25.09.2015, devono segnalare al Gestore mediante comunicazione scritta e protocollata tutte le informazioni ed i dati necessari quando sanno, sospettano o hanno motivo ragionevole per sospettare l’avvenuto compimento o il tentativo di compimento di operazioni di riciclaggio o di finanziamento del terrorismo. Il D.M. 25 settembre 2015 fa riferimento agli indicatori di anomalia con riguardo a determinati settori di attività (controlli fiscali, appalti, finanziamenti pubblici, immobili e commercio), ma l’attività di segnalazione deve estendersi e riguardare tutti i settori del Comune, qualora si realizzino o si configurino ipotesi riconducibili a sospette attività di riciclaggio o di finanziamento del terrorismo. Ciascun Responsabile dovrà relazionare in maniera puntuale su quanto rilevato, indicando tutti gli elementi, le informazioni ed i fatti nonché i motivi del sospetto;</w:t>
      </w:r>
    </w:p>
    <w:p>
      <w:pPr>
        <w:pStyle w:val="Normal"/>
        <w:numPr>
          <w:ilvl w:val="0"/>
          <w:numId w:val="23"/>
        </w:numPr>
        <w:tabs>
          <w:tab w:val="clear" w:pos="720"/>
          <w:tab w:val="left" w:pos="426" w:leader="none"/>
        </w:tabs>
        <w:suppressAutoHyphens w:val="false"/>
        <w:spacing w:lineRule="auto" w:line="276" w:before="0" w:after="198"/>
        <w:jc w:val="both"/>
        <w:rPr>
          <w:rFonts w:ascii="Arial" w:hAnsi="Arial" w:cs="Arial"/>
          <w:sz w:val="22"/>
          <w:szCs w:val="22"/>
        </w:rPr>
      </w:pPr>
      <w:r>
        <w:rPr>
          <w:rFonts w:cs="Arial" w:ascii="Arial" w:hAnsi="Arial"/>
          <w:sz w:val="22"/>
          <w:szCs w:val="22"/>
        </w:rPr>
        <w:t>il Gestore, non appena ricevuta la segnalazione da parte del Responsabile, effettua le proprie valutazioni - tenuto conto in particolare degli indicatori di anomalia riguardanti i settori dei “controlli fiscali”, degli “appalti” e dei “finanziamenti pubblici” - e trasmette senza ritardo la segnalazione di operazione sospetta alla UIF secondo le modalità telematiche di cui al predetto art. 7 del D.M., al portale INFOSTAT-UIF della Banca d’Italia, avendo cura che venga garantita la massima riservatezza dei soggetti coinvolti nell'effettuazione della segnalazione stessa. L’UIF considererà quale proprio interlocutore, per tutte le comunicazioni e gli approfondimenti connessi con le operazioni sospette segnalate, il Gestore delle Segnalazioni Antiriciclaggio.</w:t>
      </w:r>
    </w:p>
    <w:p>
      <w:pPr>
        <w:pStyle w:val="Normal"/>
        <w:numPr>
          <w:ilvl w:val="0"/>
          <w:numId w:val="23"/>
        </w:numPr>
        <w:tabs>
          <w:tab w:val="clear" w:pos="720"/>
          <w:tab w:val="left" w:pos="426" w:leader="none"/>
        </w:tabs>
        <w:suppressAutoHyphens w:val="false"/>
        <w:spacing w:lineRule="auto" w:line="276" w:before="0" w:after="198"/>
        <w:jc w:val="both"/>
        <w:rPr>
          <w:rFonts w:ascii="Arial" w:hAnsi="Arial" w:cs="Arial"/>
          <w:sz w:val="22"/>
          <w:szCs w:val="22"/>
        </w:rPr>
      </w:pPr>
      <w:r>
        <w:rPr>
          <w:rFonts w:cs="Arial" w:ascii="Arial" w:hAnsi="Arial"/>
          <w:sz w:val="22"/>
          <w:szCs w:val="22"/>
          <w:highlight w:val="white"/>
        </w:rPr>
        <w:t xml:space="preserve">Con riferimento alla </w:t>
      </w:r>
      <w:r>
        <w:rPr>
          <w:rFonts w:cs="Arial" w:ascii="Arial" w:hAnsi="Arial"/>
          <w:b/>
          <w:sz w:val="22"/>
          <w:szCs w:val="22"/>
          <w:highlight w:val="white"/>
        </w:rPr>
        <w:t>normativa a tutela del dipendente che segnala condotte illecite di cui sia venuto a conoscenza (cd. Whistleblower)</w:t>
      </w:r>
      <w:r>
        <w:rPr>
          <w:rFonts w:cs="Arial" w:ascii="Arial" w:hAnsi="Arial"/>
          <w:sz w:val="22"/>
          <w:szCs w:val="22"/>
          <w:highlight w:val="white"/>
        </w:rPr>
        <w:t>, di cui all’art.1, comma 51, del D.Lgs. n.190/2012, che prevede una misura di tutela finalizzata a consentire l’emersione di fattispecie di illecito e la prevenzione di rischi e situazioni pregiudizievoli per l’amministrazione di appartenenza e, di riflesso, per l’interesse pubblico collettivo, si ricorda che tale norma, in particolare, ha introdotto:</w:t>
      </w:r>
    </w:p>
    <w:p>
      <w:pPr>
        <w:pStyle w:val="Normal"/>
        <w:ind w:left="720"/>
        <w:jc w:val="both"/>
        <w:rPr>
          <w:rFonts w:ascii="Arial" w:hAnsi="Arial" w:cs="Arial"/>
          <w:sz w:val="22"/>
          <w:szCs w:val="22"/>
        </w:rPr>
      </w:pPr>
      <w:r>
        <w:rPr>
          <w:rFonts w:cs="Arial" w:ascii="Arial" w:hAnsi="Arial"/>
          <w:sz w:val="22"/>
          <w:szCs w:val="22"/>
          <w:highlight w:val="white"/>
        </w:rPr>
        <w:t>- la tutela dell’anonimato del dipendente che effettua la segnalazione di condotte illecite di cui sia venuto a conoscenza in ragione del rapporto di lavoro (fattispecie diversa dalla segnalazione anonima);</w:t>
      </w:r>
    </w:p>
    <w:p>
      <w:pPr>
        <w:pStyle w:val="Normal"/>
        <w:ind w:left="720"/>
        <w:jc w:val="both"/>
        <w:rPr>
          <w:rFonts w:ascii="Arial" w:hAnsi="Arial" w:cs="Arial"/>
          <w:sz w:val="22"/>
          <w:szCs w:val="22"/>
        </w:rPr>
      </w:pPr>
      <w:r>
        <w:rPr>
          <w:rFonts w:cs="Arial" w:ascii="Arial" w:hAnsi="Arial"/>
          <w:sz w:val="22"/>
          <w:szCs w:val="22"/>
          <w:highlight w:val="white"/>
        </w:rPr>
        <w:t>- il divieto di azioni discriminatorie (molestie o ritorsioni di altro genere) nei confronti della persona che ha denunciato l’illecito;</w:t>
      </w:r>
    </w:p>
    <w:p>
      <w:pPr>
        <w:pStyle w:val="Normal"/>
        <w:ind w:left="720"/>
        <w:jc w:val="both"/>
        <w:rPr>
          <w:rFonts w:ascii="Arial" w:hAnsi="Arial" w:cs="Arial"/>
          <w:sz w:val="22"/>
          <w:szCs w:val="22"/>
        </w:rPr>
      </w:pPr>
      <w:r>
        <w:rPr>
          <w:rFonts w:cs="Arial" w:ascii="Arial" w:hAnsi="Arial"/>
          <w:sz w:val="22"/>
          <w:szCs w:val="22"/>
          <w:highlight w:val="white"/>
        </w:rPr>
        <w:t>- l’esclusione dell’accesso a tutti i documenti che riguardano la segnalazione.</w:t>
      </w:r>
    </w:p>
    <w:p>
      <w:pPr>
        <w:pStyle w:val="Normal"/>
        <w:ind w:left="720"/>
        <w:jc w:val="both"/>
        <w:rPr>
          <w:rFonts w:ascii="Arial" w:hAnsi="Arial" w:cs="Arial"/>
          <w:sz w:val="22"/>
          <w:szCs w:val="22"/>
          <w:highlight w:val="white"/>
        </w:rPr>
      </w:pPr>
      <w:r>
        <w:rPr>
          <w:rFonts w:cs="Arial" w:ascii="Arial" w:hAnsi="Arial"/>
          <w:sz w:val="22"/>
          <w:szCs w:val="22"/>
          <w:highlight w:val="white"/>
        </w:rPr>
      </w:r>
    </w:p>
    <w:p>
      <w:pPr>
        <w:pStyle w:val="Normal"/>
        <w:ind w:left="720"/>
        <w:jc w:val="both"/>
        <w:rPr>
          <w:rFonts w:ascii="Arial" w:hAnsi="Arial" w:cs="Arial"/>
          <w:sz w:val="22"/>
          <w:szCs w:val="22"/>
        </w:rPr>
      </w:pPr>
      <w:r>
        <w:rPr>
          <w:rFonts w:cs="Arial" w:ascii="Arial" w:hAnsi="Arial"/>
          <w:sz w:val="22"/>
          <w:szCs w:val="22"/>
          <w:highlight w:val="white"/>
        </w:rPr>
        <w:t>Il 15 novembre 2017 la Camera dei deputati ha approvato in via definitiva il disegno di legge n. 3365-B, già licenziato dal Senato il 18 ottobre 2017. La novella reca le “</w:t>
      </w:r>
      <w:r>
        <w:rPr>
          <w:rFonts w:cs="Arial" w:ascii="Arial" w:hAnsi="Arial"/>
          <w:i/>
          <w:iCs/>
          <w:sz w:val="22"/>
          <w:szCs w:val="22"/>
          <w:highlight w:val="white"/>
        </w:rPr>
        <w:t>Disposizioni a tutela degli autori di segnalazioni di condotte illecite nel settore pubblico e privato</w:t>
      </w:r>
      <w:r>
        <w:rPr>
          <w:rFonts w:cs="Arial" w:ascii="Arial" w:hAnsi="Arial"/>
          <w:sz w:val="22"/>
          <w:szCs w:val="22"/>
          <w:highlight w:val="white"/>
        </w:rPr>
        <w:t>”. La nuova legge sul whistleblowing ha riscritto l’articolo 54-bis. Secondo la nuova disposizione il pubblico dipendente che, “</w:t>
      </w:r>
      <w:r>
        <w:rPr>
          <w:rFonts w:cs="Arial" w:ascii="Arial" w:hAnsi="Arial"/>
          <w:i/>
          <w:iCs/>
          <w:sz w:val="22"/>
          <w:szCs w:val="22"/>
          <w:highlight w:val="white"/>
        </w:rPr>
        <w:t>nell'interesse dell'integrità della pubblica amministrazione</w:t>
      </w:r>
      <w:r>
        <w:rPr>
          <w:rFonts w:cs="Arial" w:ascii="Arial" w:hAnsi="Arial"/>
          <w:sz w:val="22"/>
          <w:szCs w:val="22"/>
          <w:highlight w:val="white"/>
        </w:rPr>
        <w:t>”, segnala al Responsabile della prevenzione della corruzione e della trasparenza, oppure all'ANAC, o all'autorità giudiziaria ordinaria o contabile, “</w:t>
      </w:r>
      <w:r>
        <w:rPr>
          <w:rFonts w:cs="Arial" w:ascii="Arial" w:hAnsi="Arial"/>
          <w:i/>
          <w:iCs/>
          <w:sz w:val="22"/>
          <w:szCs w:val="22"/>
          <w:highlight w:val="white"/>
        </w:rPr>
        <w:t>condotte illecite di cui è venuto a conoscenza in ragione del proprio rapporto di lavoro non può essere sanzionato, demansionato, licenziato, trasferito, o sottoposto ad altra misura organizzativa avente effetti negativi, diretti o indiretti, sulle condizioni di lavoro determinata dalla segnalazione</w:t>
      </w:r>
      <w:r>
        <w:rPr>
          <w:rFonts w:cs="Arial" w:ascii="Arial" w:hAnsi="Arial"/>
          <w:sz w:val="22"/>
          <w:szCs w:val="22"/>
          <w:highlight w:val="white"/>
        </w:rPr>
        <w:t>”. L'adozione di tali misure ritorsive, verrà comunicata all'ANAC dall'interessato o dalle organizzazioni sindacali maggiormente rappresentative nell'amministrazione. L'ANAC, in conseguenza della segnalazione, ne informerà il Dipartimento della funzione pubblica o gli altri organismi di garanzia o di disciplina, per le attività e gli eventuali provvedimenti di competenza.</w:t>
      </w:r>
    </w:p>
    <w:p>
      <w:pPr>
        <w:pStyle w:val="Normal"/>
        <w:ind w:left="720"/>
        <w:jc w:val="both"/>
        <w:rPr>
          <w:rFonts w:ascii="Arial" w:hAnsi="Arial" w:cs="Arial"/>
          <w:sz w:val="22"/>
          <w:szCs w:val="22"/>
        </w:rPr>
      </w:pPr>
      <w:r>
        <w:rPr>
          <w:rFonts w:cs="Arial" w:ascii="Arial" w:hAnsi="Arial"/>
          <w:sz w:val="22"/>
          <w:szCs w:val="22"/>
          <w:highlight w:val="white"/>
        </w:rPr>
        <w:t>Il nuovo comma 9 dell’art. 54 bis oggi stabilisce che le tutele non siano garantite “</w:t>
      </w:r>
      <w:r>
        <w:rPr>
          <w:rFonts w:cs="Arial" w:ascii="Arial" w:hAnsi="Arial"/>
          <w:i/>
          <w:iCs/>
          <w:sz w:val="22"/>
          <w:szCs w:val="22"/>
          <w:highlight w:val="white"/>
        </w:rPr>
        <w:t>nei casi in cui sia accertata, anche con sentenza di primo grado</w:t>
      </w:r>
      <w:r>
        <w:rPr>
          <w:rFonts w:cs="Arial" w:ascii="Arial" w:hAnsi="Arial"/>
          <w:sz w:val="22"/>
          <w:szCs w:val="22"/>
          <w:highlight w:val="white"/>
        </w:rPr>
        <w:t>”, la responsabilità penale del segnalante per i reati di calunnia o diffamazione o comunque per reati commessi con la denuncia, oppure venga accertata la sua responsabilità civile, per lo stesso titolo, nei casi di dolo o colpa grave.</w:t>
      </w:r>
    </w:p>
    <w:p>
      <w:pPr>
        <w:pStyle w:val="Normal"/>
        <w:ind w:left="720"/>
        <w:jc w:val="both"/>
        <w:rPr>
          <w:rFonts w:ascii="Arial" w:hAnsi="Arial" w:cs="Arial"/>
          <w:sz w:val="22"/>
          <w:szCs w:val="22"/>
        </w:rPr>
      </w:pPr>
      <w:r>
        <w:rPr>
          <w:rFonts w:cs="Arial" w:ascii="Arial" w:hAnsi="Arial"/>
          <w:sz w:val="22"/>
          <w:szCs w:val="22"/>
          <w:highlight w:val="white"/>
        </w:rPr>
        <w:t>La norma, pertanto:</w:t>
      </w:r>
    </w:p>
    <w:p>
      <w:pPr>
        <w:pStyle w:val="Normal"/>
        <w:ind w:left="720"/>
        <w:jc w:val="both"/>
        <w:rPr>
          <w:rFonts w:ascii="Arial" w:hAnsi="Arial" w:cs="Arial"/>
          <w:sz w:val="22"/>
          <w:szCs w:val="22"/>
        </w:rPr>
      </w:pPr>
      <w:r>
        <w:rPr>
          <w:rFonts w:cs="Arial" w:ascii="Arial" w:hAnsi="Arial"/>
          <w:sz w:val="22"/>
          <w:szCs w:val="22"/>
          <w:highlight w:val="white"/>
        </w:rPr>
        <w:t>- in primo luogo, precisa che è sempre necessario il pronunciamento, anche non definitivo, di un Giudice per far cessare le tutele dell’articolo 54-bis;</w:t>
      </w:r>
    </w:p>
    <w:p>
      <w:pPr>
        <w:pStyle w:val="P"/>
        <w:spacing w:lineRule="auto" w:line="240" w:before="0" w:after="0"/>
        <w:ind w:left="720"/>
        <w:rPr>
          <w:rFonts w:ascii="Arial" w:hAnsi="Arial" w:cs="Arial"/>
          <w:sz w:val="22"/>
          <w:szCs w:val="22"/>
        </w:rPr>
      </w:pPr>
      <w:r>
        <w:rPr>
          <w:rFonts w:eastAsia="Calibri" w:cs="Arial" w:ascii="Arial" w:hAnsi="Arial"/>
          <w:sz w:val="22"/>
          <w:szCs w:val="22"/>
          <w:highlight w:val="white"/>
          <w:lang w:eastAsia="en-US"/>
        </w:rPr>
        <w:t>- quindi, chiarisce che la decisione del Giudice può riguardare sia condotte penalmente rilevanti, sia condotte che determinano la sola “responsabilità civile” del denunciante per dolo o colpa grave.</w:t>
      </w:r>
    </w:p>
    <w:p>
      <w:pPr>
        <w:pStyle w:val="P"/>
        <w:spacing w:lineRule="auto" w:line="240" w:before="0" w:after="0"/>
        <w:ind w:left="720"/>
        <w:rPr>
          <w:rFonts w:ascii="Arial" w:hAnsi="Arial" w:cs="Arial"/>
          <w:sz w:val="22"/>
          <w:szCs w:val="22"/>
        </w:rPr>
      </w:pPr>
      <w:r>
        <w:rPr>
          <w:rFonts w:eastAsia="Calibri" w:cs="Arial" w:ascii="Arial" w:hAnsi="Arial"/>
          <w:sz w:val="22"/>
          <w:szCs w:val="22"/>
          <w:highlight w:val="white"/>
          <w:lang w:eastAsia="en-US"/>
        </w:rPr>
        <w:t>I soggetti tutelati sono principalmente i “dipendenti pubblici” che, in ragione del rapporto di lavoro, siano venuti a conoscenza di condotte illecite.</w:t>
      </w:r>
    </w:p>
    <w:p>
      <w:pPr>
        <w:pStyle w:val="P"/>
        <w:spacing w:lineRule="auto" w:line="240" w:before="0" w:after="0"/>
        <w:ind w:left="720"/>
        <w:rPr>
          <w:rFonts w:ascii="Arial" w:hAnsi="Arial" w:cs="Arial"/>
          <w:sz w:val="22"/>
          <w:szCs w:val="22"/>
        </w:rPr>
      </w:pPr>
      <w:r>
        <w:rPr>
          <w:rFonts w:eastAsia="Calibri" w:cs="Arial" w:ascii="Arial" w:hAnsi="Arial"/>
          <w:sz w:val="22"/>
          <w:szCs w:val="22"/>
          <w:highlight w:val="white"/>
          <w:lang w:eastAsia="en-US"/>
        </w:rPr>
        <w:t>La nuova disposizione, accogliendo una sollecitazione contenuta nella determinazione n. 6/2015 dell’Autorità, “</w:t>
      </w:r>
      <w:r>
        <w:rPr>
          <w:rFonts w:eastAsia="Calibri" w:cs="Arial" w:ascii="Arial" w:hAnsi="Arial"/>
          <w:i/>
          <w:iCs/>
          <w:sz w:val="22"/>
          <w:szCs w:val="22"/>
          <w:highlight w:val="white"/>
          <w:lang w:eastAsia="en-US"/>
        </w:rPr>
        <w:t>Linee guida in materia di tutela del dipendente pubblico che segnala illeciti</w:t>
      </w:r>
      <w:r>
        <w:rPr>
          <w:rFonts w:eastAsia="Calibri" w:cs="Arial" w:ascii="Arial" w:hAnsi="Arial"/>
          <w:sz w:val="22"/>
          <w:szCs w:val="22"/>
          <w:highlight w:val="white"/>
          <w:lang w:eastAsia="en-US"/>
        </w:rPr>
        <w:t>”, ha sensibilmente ampliato la platea dei soggetti meritevoli di tutela. L’articolo 54-bis, infatti, si applica:</w:t>
      </w:r>
    </w:p>
    <w:p>
      <w:pPr>
        <w:pStyle w:val="P"/>
        <w:spacing w:lineRule="auto" w:line="240" w:before="0" w:after="0"/>
        <w:ind w:left="720"/>
        <w:rPr>
          <w:rFonts w:ascii="Arial" w:hAnsi="Arial" w:cs="Arial"/>
          <w:sz w:val="22"/>
          <w:szCs w:val="22"/>
        </w:rPr>
      </w:pPr>
      <w:r>
        <w:rPr>
          <w:rFonts w:eastAsia="Calibri" w:cs="Arial" w:ascii="Arial" w:hAnsi="Arial"/>
          <w:sz w:val="22"/>
          <w:szCs w:val="22"/>
          <w:highlight w:val="white"/>
          <w:lang w:eastAsia="en-US"/>
        </w:rPr>
        <w:t>- ai dipendenti pubblici;</w:t>
      </w:r>
    </w:p>
    <w:p>
      <w:pPr>
        <w:pStyle w:val="P"/>
        <w:spacing w:lineRule="auto" w:line="240" w:before="0" w:after="0"/>
        <w:ind w:left="720"/>
        <w:rPr>
          <w:rFonts w:ascii="Arial" w:hAnsi="Arial" w:cs="Arial"/>
          <w:sz w:val="22"/>
          <w:szCs w:val="22"/>
        </w:rPr>
      </w:pPr>
      <w:r>
        <w:rPr>
          <w:rFonts w:eastAsia="Calibri" w:cs="Arial" w:ascii="Arial" w:hAnsi="Arial"/>
          <w:sz w:val="22"/>
          <w:szCs w:val="22"/>
          <w:highlight w:val="white"/>
          <w:lang w:eastAsia="en-US"/>
        </w:rPr>
        <w:t>- ai dipendenti di enti pubblici economici e di enti di diritto privato sottoposti a controllo pubblico ai sensi dell'articolo 2359 del codice civile;</w:t>
      </w:r>
    </w:p>
    <w:p>
      <w:pPr>
        <w:pStyle w:val="Normal"/>
        <w:ind w:left="720"/>
        <w:jc w:val="both"/>
        <w:rPr>
          <w:rFonts w:ascii="Arial" w:hAnsi="Arial" w:cs="Arial"/>
          <w:sz w:val="22"/>
          <w:szCs w:val="22"/>
        </w:rPr>
      </w:pPr>
      <w:r>
        <w:rPr>
          <w:rFonts w:cs="Arial" w:ascii="Arial" w:hAnsi="Arial"/>
          <w:sz w:val="22"/>
          <w:szCs w:val="22"/>
          <w:highlight w:val="white"/>
        </w:rPr>
        <w:t>- ai lavoratori ed ai collaboratori delle “imprese fornitrici di beni o servizi e che realizzano opere in favore dell'amministrazione pubblica”.</w:t>
      </w:r>
    </w:p>
    <w:p>
      <w:pPr>
        <w:pStyle w:val="Normal"/>
        <w:ind w:left="720"/>
        <w:jc w:val="both"/>
        <w:rPr>
          <w:rFonts w:ascii="Arial" w:hAnsi="Arial" w:cs="Arial"/>
          <w:sz w:val="22"/>
          <w:szCs w:val="22"/>
        </w:rPr>
      </w:pPr>
      <w:r>
        <w:rPr>
          <w:rFonts w:cs="Arial" w:ascii="Arial" w:hAnsi="Arial"/>
          <w:sz w:val="22"/>
          <w:szCs w:val="22"/>
          <w:highlight w:val="white"/>
        </w:rPr>
        <w:t xml:space="preserve">La normativa attribuisce un ruolo centrale ed essenziale al RPCT riguardo alla protezione del dipendente </w:t>
      </w:r>
      <w:r>
        <w:rPr>
          <w:rFonts w:cs="Arial" w:ascii="Arial" w:hAnsi="Arial"/>
          <w:i/>
          <w:iCs/>
          <w:sz w:val="22"/>
          <w:szCs w:val="22"/>
          <w:highlight w:val="white"/>
        </w:rPr>
        <w:t>whistleblower</w:t>
      </w:r>
      <w:r>
        <w:rPr>
          <w:rFonts w:cs="Arial" w:ascii="Arial" w:hAnsi="Arial"/>
          <w:sz w:val="22"/>
          <w:szCs w:val="22"/>
          <w:highlight w:val="white"/>
        </w:rPr>
        <w:t>, esponendo il responsabile stesso al rischio delle sanzioni comminata dall’Autorità qualora ometta di applicare in modo puntuale le garanzie previste dall’articolo 54-bis e dalle linee guida dell’ANAC stessa che, necessariamente, dovranno essere oggetto di un profondo aggiornamento.</w:t>
      </w:r>
    </w:p>
    <w:p>
      <w:pPr>
        <w:pStyle w:val="Normal"/>
        <w:ind w:left="720"/>
        <w:jc w:val="both"/>
        <w:rPr>
          <w:rFonts w:ascii="Arial" w:hAnsi="Arial" w:cs="Arial"/>
          <w:sz w:val="22"/>
          <w:szCs w:val="22"/>
        </w:rPr>
      </w:pPr>
      <w:r>
        <w:rPr>
          <w:rFonts w:cs="Arial" w:ascii="Arial" w:hAnsi="Arial"/>
          <w:sz w:val="22"/>
          <w:szCs w:val="22"/>
          <w:highlight w:val="white"/>
        </w:rPr>
        <w:t>Il comma 5 del nuovo articolo 54-bis infatti prevede che l'ANAC, sentito il Garante per la protezione dei dati personali, approvi apposite linee guida relative alle procedure per la presentazione e la gestione delle segnalazioni che saranno oggetto di particolare attenzione al fine di adeguare le tutele disposte al segnalante dal Comune di Marano s.P. in tale contesto.</w:t>
      </w:r>
    </w:p>
    <w:p>
      <w:pPr>
        <w:pStyle w:val="Normal"/>
        <w:ind w:left="720"/>
        <w:jc w:val="both"/>
        <w:rPr>
          <w:rFonts w:ascii="Arial" w:hAnsi="Arial" w:cs="Arial"/>
          <w:sz w:val="22"/>
          <w:szCs w:val="22"/>
        </w:rPr>
      </w:pPr>
      <w:r>
        <w:rPr>
          <w:rFonts w:cs="Arial" w:ascii="Arial" w:hAnsi="Arial"/>
          <w:sz w:val="22"/>
          <w:szCs w:val="22"/>
          <w:highlight w:val="white"/>
        </w:rPr>
        <w:t>Secondo quanto stabilito dal PNA 2016 la tutela deve essere supportata da attività di sensibilizzazione, comunicazione e formazione all’interno dell’Amministrazione. L’attuazione di tale misura implica la necessità, da parte dell’Amministrazione, di fornire al segnalante chiare indicazioni operative non solo in ordine alle forme di tutela che gli vengono offerte dall'ordinamento ma anche e soprattutto in ordine all'oggetto, ai contenuti, ai destinatari e alla modalità di trasmissione delle segnalazioni.</w:t>
      </w:r>
    </w:p>
    <w:p>
      <w:pPr>
        <w:pStyle w:val="Normal"/>
        <w:ind w:left="720"/>
        <w:jc w:val="both"/>
        <w:rPr>
          <w:rFonts w:ascii="Arial" w:hAnsi="Arial" w:cs="Arial"/>
          <w:sz w:val="22"/>
          <w:szCs w:val="22"/>
          <w:highlight w:val="white"/>
        </w:rPr>
      </w:pPr>
      <w:r>
        <w:rPr>
          <w:rFonts w:cs="Arial" w:ascii="Arial" w:hAnsi="Arial"/>
          <w:sz w:val="22"/>
          <w:szCs w:val="22"/>
          <w:highlight w:val="white"/>
        </w:rPr>
        <w:t xml:space="preserve">A tal fine il Comune di Marano s.P. aveva definito le modalità operative per l'attuazione della misura: definizione del modulo e dei canali da utilizzare per la segnalazione (raccomandata a mezzo servizio postale, indirizzo </w:t>
      </w:r>
      <w:r>
        <w:rPr>
          <w:rFonts w:cs="Arial" w:ascii="Arial" w:hAnsi="Arial"/>
          <w:i/>
          <w:iCs/>
          <w:sz w:val="22"/>
          <w:szCs w:val="22"/>
          <w:highlight w:val="white"/>
        </w:rPr>
        <w:t>e-mail</w:t>
      </w:r>
      <w:r>
        <w:rPr>
          <w:rFonts w:cs="Arial" w:ascii="Arial" w:hAnsi="Arial"/>
          <w:sz w:val="22"/>
          <w:szCs w:val="22"/>
          <w:highlight w:val="white"/>
        </w:rPr>
        <w:t xml:space="preserve"> dedicato, posta interna riservata). Era stata predisposta una circolare che conteneva indicazioni sulla misura e sulle modalità operative da utilizzare per la segnalazione degli illeciti, comunicata e diffusa via mail a tutti i dipendenti in data 10.12.2014 e pubblicata sul sito dell’Ente unitamente alla modulistica utilizzabile. In particolare nella circolare veniva delineata la procedura per la gestione delle segnalazioni precisando che ogni comunicazione è assolutamente riservata e tenuta in uno specifico registro ugualmente riservato precisandosi che nel caso in cui la segnalazione riguardi fatti di rilevanza penale l’inoltro non esonera il segnalante dall'obbligo di denunciare gli stessi alla competente Autorità Giudiziaria. L’ente pertanto si era dotato di un sistema che consentiva l’inoltro e la gestione di segnalazioni in maniera del tutto anonima e la sua registrazione in apposito registro riservato. L’indirizzo mail riservato per la trasmissione della segnalazione era il seguente: </w:t>
      </w:r>
    </w:p>
    <w:p>
      <w:pPr>
        <w:pStyle w:val="Normal"/>
        <w:ind w:left="720"/>
        <w:jc w:val="both"/>
        <w:rPr>
          <w:rFonts w:ascii="Arial" w:hAnsi="Arial" w:cs="Arial"/>
          <w:sz w:val="22"/>
          <w:szCs w:val="22"/>
        </w:rPr>
      </w:pPr>
      <w:r>
        <w:rPr>
          <w:rFonts w:cs="Arial" w:ascii="Arial" w:hAnsi="Arial"/>
          <w:sz w:val="22"/>
          <w:szCs w:val="22"/>
          <w:highlight w:val="white"/>
        </w:rPr>
        <w:t>(</w:t>
      </w:r>
      <w:hyperlink r:id="rId12">
        <w:r>
          <w:rPr>
            <w:rStyle w:val="Hyperlink"/>
            <w:rFonts w:cs="Arial" w:ascii="Arial" w:hAnsi="Arial"/>
            <w:sz w:val="22"/>
            <w:szCs w:val="22"/>
          </w:rPr>
          <w:t>tuteladipendente@comune.marano.mo.it</w:t>
        </w:r>
      </w:hyperlink>
      <w:r>
        <w:rPr>
          <w:rFonts w:cs="Arial" w:ascii="Arial" w:hAnsi="Arial"/>
          <w:sz w:val="22"/>
          <w:szCs w:val="22"/>
          <w:highlight w:val="white"/>
        </w:rPr>
        <w:t>).</w:t>
      </w:r>
    </w:p>
    <w:p>
      <w:pPr>
        <w:pStyle w:val="Normal"/>
        <w:ind w:left="720"/>
        <w:jc w:val="both"/>
        <w:rPr>
          <w:rFonts w:ascii="Arial" w:hAnsi="Arial" w:cs="Arial"/>
          <w:sz w:val="22"/>
          <w:szCs w:val="22"/>
        </w:rPr>
      </w:pPr>
      <w:r>
        <w:rPr>
          <w:rFonts w:cs="Arial" w:ascii="Arial" w:hAnsi="Arial"/>
          <w:sz w:val="22"/>
          <w:szCs w:val="22"/>
        </w:rPr>
      </w:r>
    </w:p>
    <w:p>
      <w:pPr>
        <w:pStyle w:val="Normal"/>
        <w:ind w:left="720"/>
        <w:jc w:val="both"/>
        <w:rPr>
          <w:rFonts w:ascii="Arial" w:hAnsi="Arial" w:cs="Arial"/>
          <w:color w:val="000000"/>
          <w:sz w:val="22"/>
          <w:szCs w:val="22"/>
          <w:highlight w:val="white"/>
        </w:rPr>
      </w:pPr>
      <w:r>
        <w:rPr>
          <w:rFonts w:cs="Arial" w:ascii="Arial" w:hAnsi="Arial"/>
          <w:sz w:val="22"/>
          <w:szCs w:val="22"/>
        </w:rPr>
        <w:t xml:space="preserve">A partire dal 22/12/2023 </w:t>
      </w:r>
      <w:r>
        <w:rPr>
          <w:rFonts w:cs="Arial" w:ascii="Arial" w:hAnsi="Arial"/>
          <w:color w:val="000000"/>
          <w:sz w:val="22"/>
          <w:szCs w:val="22"/>
          <w:shd w:fill="FFFFFF" w:val="clear"/>
        </w:rPr>
        <w:t xml:space="preserve">il Comune di Marano sul Panaro, per meglio adempiere agli obblighi normativi a tutela della riservatezza del segnalante </w:t>
      </w:r>
      <w:r>
        <w:rPr>
          <w:rFonts w:cs="Arial" w:ascii="Arial" w:hAnsi="Arial"/>
          <w:color w:val="000000"/>
          <w:shd w:fill="FFFFFF" w:val="clear"/>
        </w:rPr>
        <w:t xml:space="preserve">ed </w:t>
      </w:r>
      <w:r>
        <w:rPr>
          <w:rFonts w:cs="Arial" w:ascii="Arial" w:hAnsi="Arial"/>
          <w:shd w:fill="FFFFFF" w:val="clear"/>
        </w:rPr>
        <w:t xml:space="preserve">alle </w:t>
      </w:r>
      <w:hyperlink r:id="rId13">
        <w:r>
          <w:rPr>
            <w:rStyle w:val="Hyperlink"/>
            <w:rFonts w:cs="Arial" w:ascii="Arial" w:hAnsi="Arial"/>
            <w:color w:val="00000A"/>
            <w:sz w:val="22"/>
            <w:szCs w:val="22"/>
            <w:u w:val="none"/>
          </w:rPr>
          <w:t>Linee guida Anac in materia di tutela degli autori di segnalazioni di reati o irregolarità di cui siano venuti a conoscenza in ragione di un rapporto di lavoro, ai sensi dell’art. 54-bis, del d.lgs. 165/2001 (c.d. whistleblowing)</w:t>
        </w:r>
      </w:hyperlink>
      <w:r>
        <w:rPr>
          <w:rStyle w:val="Hyperlink"/>
          <w:rFonts w:cs="Arial" w:ascii="Arial" w:hAnsi="Arial"/>
          <w:sz w:val="22"/>
          <w:szCs w:val="22"/>
        </w:rPr>
        <w:t>,</w:t>
      </w:r>
      <w:r>
        <w:rPr>
          <w:rFonts w:cs="Arial" w:ascii="Arial" w:hAnsi="Arial"/>
          <w:color w:val="000000"/>
          <w:sz w:val="22"/>
          <w:szCs w:val="22"/>
          <w:shd w:fill="FFFFFF" w:val="clear"/>
        </w:rPr>
        <w:t>adottate dall’Autorità con Delibera n. 469 del 9 giugno 2021</w:t>
      </w:r>
      <w:r>
        <w:rPr>
          <w:rFonts w:cs="Times New Roman" w:ascii="Times New Roman" w:hAnsi="Times New Roman"/>
          <w:color w:val="000000"/>
          <w:shd w:fill="FFFFFF" w:val="clear"/>
        </w:rPr>
        <w:t xml:space="preserve">, </w:t>
      </w:r>
      <w:r>
        <w:rPr>
          <w:rFonts w:cs="Arial" w:ascii="Arial" w:hAnsi="Arial"/>
          <w:color w:val="000000"/>
          <w:sz w:val="22"/>
          <w:szCs w:val="22"/>
          <w:shd w:fill="FFFFFF" w:val="clear"/>
        </w:rPr>
        <w:t>ha aderito al progetto Whistleblowing PA di Transparency International Italia e del Centro Hermes per la Trasparenza e i Diritti Umani e Digitali (circolare del RPCT prot. n. 10730 del 21/12/2023).</w:t>
      </w:r>
    </w:p>
    <w:p>
      <w:pPr>
        <w:pStyle w:val="Normal"/>
        <w:ind w:left="720"/>
        <w:jc w:val="both"/>
        <w:rPr>
          <w:rFonts w:ascii="Arial" w:hAnsi="Arial" w:cs="Arial"/>
          <w:color w:val="000000"/>
          <w:sz w:val="22"/>
          <w:szCs w:val="22"/>
          <w:highlight w:val="white"/>
        </w:rPr>
      </w:pPr>
      <w:r>
        <w:rPr>
          <w:rFonts w:cs="Arial" w:ascii="Arial" w:hAnsi="Arial"/>
          <w:bCs/>
          <w:color w:val="000000"/>
          <w:sz w:val="22"/>
          <w:szCs w:val="22"/>
          <w:shd w:fill="FFFFFF" w:val="clear"/>
        </w:rPr>
        <w:t>I dipendenti del Comune, di società partecipate o controllate dall’Ente, i collaboratori e consulenti con qualsiasi tipologia di incarico o contratto con l’ente e i dipendenti e collaboratori delle imprese fornitrici e realizzatrici di opere pubbliche dell’ente possono pertanto segnalare illeciti</w:t>
      </w:r>
      <w:r>
        <w:rPr>
          <w:rFonts w:cs="Arial" w:ascii="Arial" w:hAnsi="Arial"/>
          <w:color w:val="000000"/>
          <w:sz w:val="22"/>
          <w:szCs w:val="22"/>
          <w:shd w:fill="FFFFFF" w:val="clear"/>
        </w:rPr>
        <w:t> di cui siano venuti a conoscenza in ragione del rapporto di lavoro:</w:t>
      </w:r>
    </w:p>
    <w:p>
      <w:pPr>
        <w:pStyle w:val="Normal"/>
        <w:ind w:left="720"/>
        <w:jc w:val="both"/>
        <w:rPr>
          <w:rFonts w:ascii="Arial" w:hAnsi="Arial" w:cs="Arial"/>
          <w:color w:val="000000"/>
          <w:sz w:val="22"/>
          <w:szCs w:val="22"/>
          <w:highlight w:val="white"/>
        </w:rPr>
      </w:pPr>
      <w:r>
        <w:rPr>
          <w:rFonts w:cs="Arial" w:ascii="Arial" w:hAnsi="Arial"/>
          <w:color w:val="000000"/>
          <w:sz w:val="22"/>
          <w:szCs w:val="22"/>
          <w:shd w:fill="FFFFFF" w:val="clear"/>
        </w:rPr>
        <w:t>•</w:t>
      </w:r>
      <w:r>
        <w:rPr>
          <w:rFonts w:cs="Arial" w:ascii="Arial" w:hAnsi="Arial"/>
          <w:b/>
          <w:bCs/>
          <w:color w:val="000000"/>
          <w:sz w:val="22"/>
          <w:szCs w:val="22"/>
          <w:shd w:fill="FFFFFF" w:val="clear"/>
        </w:rPr>
        <w:t>all' Autorità giudiziaria e contabile</w:t>
      </w:r>
      <w:r>
        <w:rPr>
          <w:rFonts w:cs="Arial" w:ascii="Arial" w:hAnsi="Arial"/>
          <w:color w:val="000000"/>
          <w:sz w:val="22"/>
          <w:szCs w:val="22"/>
          <w:shd w:fill="FFFFFF" w:val="clear"/>
        </w:rPr>
        <w:t>mediante denuncia</w:t>
      </w:r>
    </w:p>
    <w:p>
      <w:pPr>
        <w:pStyle w:val="Normal"/>
        <w:ind w:left="720"/>
        <w:jc w:val="both"/>
        <w:rPr/>
      </w:pPr>
      <w:r>
        <w:rPr>
          <w:rFonts w:cs="Arial" w:ascii="Arial" w:hAnsi="Arial"/>
          <w:color w:val="000000"/>
          <w:sz w:val="22"/>
          <w:szCs w:val="22"/>
          <w:shd w:fill="FFFFFF" w:val="clear"/>
        </w:rPr>
        <w:t>•</w:t>
      </w:r>
      <w:r>
        <w:rPr>
          <w:rFonts w:cs="Arial" w:ascii="Arial" w:hAnsi="Arial"/>
          <w:b/>
          <w:bCs/>
          <w:color w:val="000000"/>
          <w:sz w:val="22"/>
          <w:szCs w:val="22"/>
          <w:shd w:fill="FFFFFF" w:val="clear"/>
        </w:rPr>
        <w:t>ad ANAC</w:t>
      </w:r>
      <w:r>
        <w:rPr>
          <w:rFonts w:cs="Arial" w:ascii="Arial" w:hAnsi="Arial"/>
          <w:color w:val="000000"/>
          <w:sz w:val="22"/>
          <w:szCs w:val="22"/>
          <w:shd w:fill="FFFFFF" w:val="clear"/>
        </w:rPr>
        <w:t>all’indirizzo web</w:t>
      </w:r>
      <w:r>
        <w:rPr>
          <w:rFonts w:cs="Arial" w:ascii="Arial" w:hAnsi="Arial"/>
          <w:sz w:val="22"/>
          <w:szCs w:val="22"/>
          <w:shd w:fill="FFFFFF" w:val="clear"/>
        </w:rPr>
        <w:t xml:space="preserve">ANAC </w:t>
      </w:r>
      <w:hyperlink r:id="rId14" w:tgtFrame="_blank">
        <w:r>
          <w:rPr>
            <w:rStyle w:val="Hyperlink"/>
            <w:rFonts w:cs="Arial" w:ascii="Arial" w:hAnsi="Arial"/>
            <w:color w:val="005A95"/>
            <w:sz w:val="22"/>
            <w:szCs w:val="22"/>
          </w:rPr>
          <w:t>https://whistleblowing.anticorruzione.it/</w:t>
        </w:r>
      </w:hyperlink>
    </w:p>
    <w:p>
      <w:pPr>
        <w:pStyle w:val="Normal"/>
        <w:ind w:left="720"/>
        <w:jc w:val="both"/>
        <w:rPr/>
      </w:pPr>
      <w:r>
        <w:rPr>
          <w:rFonts w:cs="Arial" w:ascii="Arial" w:hAnsi="Arial"/>
          <w:color w:val="000000"/>
          <w:sz w:val="22"/>
          <w:szCs w:val="22"/>
          <w:shd w:fill="FFFFFF" w:val="clear"/>
        </w:rPr>
        <w:t>•</w:t>
      </w:r>
      <w:r>
        <w:rPr>
          <w:rFonts w:cs="Arial" w:ascii="Arial" w:hAnsi="Arial"/>
          <w:b/>
          <w:bCs/>
          <w:color w:val="000000"/>
          <w:sz w:val="22"/>
          <w:szCs w:val="22"/>
          <w:shd w:fill="FFFFFF" w:val="clear"/>
        </w:rPr>
        <w:t>al RPCT</w:t>
      </w:r>
      <w:r>
        <w:rPr>
          <w:rFonts w:cs="Arial" w:ascii="Arial" w:hAnsi="Arial"/>
          <w:color w:val="000000"/>
          <w:sz w:val="22"/>
          <w:szCs w:val="22"/>
          <w:shd w:fill="FFFFFF" w:val="clear"/>
        </w:rPr>
        <w:t>all’indirizzo web</w:t>
      </w:r>
      <w:r>
        <w:rPr>
          <w:rFonts w:cs="Arial" w:ascii="Arial" w:hAnsi="Arial"/>
          <w:sz w:val="22"/>
          <w:szCs w:val="22"/>
          <w:shd w:fill="FFFFFF" w:val="clear"/>
        </w:rPr>
        <w:t xml:space="preserve">RPCT </w:t>
      </w:r>
      <w:hyperlink r:id="rId15">
        <w:r>
          <w:rPr>
            <w:rStyle w:val="Hyperlink"/>
            <w:rFonts w:cs="Arial" w:ascii="Arial" w:hAnsi="Arial"/>
            <w:sz w:val="22"/>
            <w:szCs w:val="22"/>
          </w:rPr>
          <w:t>https://comunedimaranosulpanaro.whistleblowing.it</w:t>
        </w:r>
      </w:hyperlink>
    </w:p>
    <w:p>
      <w:pPr>
        <w:pStyle w:val="Normal"/>
        <w:ind w:left="720"/>
        <w:jc w:val="both"/>
        <w:rPr>
          <w:rFonts w:ascii="Arial" w:hAnsi="Arial" w:cs="Arial"/>
          <w:color w:val="000000"/>
          <w:sz w:val="22"/>
          <w:szCs w:val="22"/>
          <w:highlight w:val="white"/>
        </w:rPr>
      </w:pPr>
      <w:r>
        <w:rPr>
          <w:rFonts w:cs="Arial" w:ascii="Arial" w:hAnsi="Arial"/>
          <w:color w:val="000000"/>
          <w:sz w:val="22"/>
          <w:szCs w:val="22"/>
          <w:shd w:fill="FFFFFF" w:val="clear"/>
        </w:rPr>
        <w:t>Nel momento dell’invio della segnalazione, il segnalante riceve un codice numerico di 16 cifre che deve conservare per poter accedere nuovamente alla segnalazione. La segnalazione viene ricevuta dal Responsabile per la Prevenzione della Corruzione (RPC) che la gestisce.</w:t>
      </w:r>
    </w:p>
    <w:p>
      <w:pPr>
        <w:pStyle w:val="P"/>
        <w:spacing w:lineRule="auto" w:line="240" w:before="0" w:after="0"/>
        <w:ind w:left="720"/>
        <w:rPr>
          <w:rFonts w:ascii="Arial" w:hAnsi="Arial" w:cs="Arial"/>
          <w:sz w:val="22"/>
          <w:szCs w:val="22"/>
        </w:rPr>
      </w:pPr>
      <w:r>
        <w:rPr>
          <w:rFonts w:cs="Arial" w:ascii="Arial" w:hAnsi="Arial"/>
          <w:sz w:val="22"/>
          <w:szCs w:val="22"/>
        </w:rPr>
        <w:t xml:space="preserve">Infine si ricorda che con la Determinazione n. 6 del 28 aprile 2015 l’ANAC ha disciplinato le procedure attraverso le quali riceve e gestisce le segnalazioni; è pertanto possibile utilizzare anche l’indirizzo </w:t>
      </w:r>
      <w:r>
        <w:rPr>
          <w:rFonts w:cs="Arial" w:ascii="Arial" w:hAnsi="Arial"/>
          <w:i/>
          <w:iCs/>
          <w:sz w:val="22"/>
          <w:szCs w:val="22"/>
        </w:rPr>
        <w:t>e-mail</w:t>
      </w:r>
      <w:r>
        <w:rPr>
          <w:rFonts w:cs="Arial" w:ascii="Arial" w:hAnsi="Arial"/>
          <w:sz w:val="22"/>
          <w:szCs w:val="22"/>
        </w:rPr>
        <w:t xml:space="preserve"> creato dalla medesima (whistleblowing@anticorruzione.it), specificatamente dedicato alle segnalazioni di illeciti da parte dei pubblici dipendenti.</w:t>
      </w:r>
    </w:p>
    <w:p>
      <w:pPr>
        <w:pStyle w:val="P"/>
        <w:spacing w:lineRule="auto" w:line="240" w:before="0" w:after="0"/>
        <w:ind w:left="720"/>
        <w:rPr>
          <w:rFonts w:ascii="Arial" w:hAnsi="Arial" w:cs="Arial"/>
          <w:sz w:val="22"/>
          <w:szCs w:val="22"/>
        </w:rPr>
      </w:pPr>
      <w:r>
        <w:rPr>
          <w:rFonts w:cs="Arial" w:ascii="Arial" w:hAnsi="Arial"/>
          <w:sz w:val="22"/>
          <w:szCs w:val="22"/>
        </w:rPr>
        <w:t>Il R.P.C.T. ha monitorato in modo costante l’indirizzo di posta elettronica appositamente dedicato; a tutto il 2025 non sono pervenute segnalazioni.</w:t>
      </w:r>
    </w:p>
    <w:p>
      <w:pPr>
        <w:pStyle w:val="Normal"/>
        <w:ind w:left="720"/>
        <w:jc w:val="both"/>
        <w:rPr>
          <w:rFonts w:ascii="Arial" w:hAnsi="Arial" w:cs="Arial"/>
          <w:sz w:val="22"/>
          <w:szCs w:val="22"/>
        </w:rPr>
      </w:pPr>
      <w:r>
        <w:rPr>
          <w:rFonts w:cs="Arial" w:ascii="Arial" w:hAnsi="Arial"/>
          <w:sz w:val="22"/>
          <w:szCs w:val="22"/>
        </w:rPr>
      </w:r>
    </w:p>
    <w:p>
      <w:pPr>
        <w:pStyle w:val="P"/>
        <w:spacing w:lineRule="auto" w:line="240" w:before="0" w:after="0"/>
        <w:ind w:left="720"/>
        <w:rPr>
          <w:rFonts w:ascii="Arial" w:hAnsi="Arial" w:cs="Arial"/>
          <w:sz w:val="22"/>
          <w:szCs w:val="22"/>
        </w:rPr>
      </w:pPr>
      <w:r>
        <w:rPr>
          <w:rFonts w:cs="Arial" w:ascii="Arial" w:hAnsi="Arial"/>
          <w:sz w:val="22"/>
          <w:szCs w:val="22"/>
        </w:rPr>
      </w:r>
    </w:p>
    <w:p>
      <w:pPr>
        <w:pStyle w:val="Normal"/>
        <w:numPr>
          <w:ilvl w:val="0"/>
          <w:numId w:val="23"/>
        </w:numPr>
        <w:tabs>
          <w:tab w:val="clear" w:pos="720"/>
          <w:tab w:val="left" w:pos="1440" w:leader="none"/>
        </w:tabs>
        <w:jc w:val="both"/>
        <w:rPr>
          <w:rFonts w:ascii="Arial" w:hAnsi="Arial" w:cs="Arial"/>
          <w:sz w:val="22"/>
          <w:szCs w:val="22"/>
        </w:rPr>
      </w:pPr>
      <w:r>
        <w:rPr>
          <w:rFonts w:cs="Arial" w:ascii="Arial" w:hAnsi="Arial"/>
          <w:sz w:val="22"/>
          <w:szCs w:val="22"/>
          <w:highlight w:val="white"/>
        </w:rPr>
        <w:t xml:space="preserve">Relativamente alla verifica del </w:t>
      </w:r>
      <w:r>
        <w:rPr>
          <w:rFonts w:cs="Arial" w:ascii="Arial" w:hAnsi="Arial"/>
          <w:b/>
          <w:sz w:val="22"/>
          <w:szCs w:val="22"/>
          <w:highlight w:val="white"/>
        </w:rPr>
        <w:t>rispetto delle norme del codice di comportamento dei dipendenti delle pubbliche amministrazioni</w:t>
      </w:r>
      <w:r>
        <w:rPr>
          <w:rFonts w:cs="Arial" w:ascii="Arial" w:hAnsi="Arial"/>
          <w:sz w:val="22"/>
          <w:szCs w:val="22"/>
          <w:highlight w:val="white"/>
        </w:rPr>
        <w:t xml:space="preserve"> di cui al Decreto del Presidente della Repubblica 16 aprile 2013, n. 62, non solo da parte dei propri dipendenti, ma anche, laddove compatibili, da parte di tutti i collaboratori dell’amministrazione, dei titolari di organi e di incarichi negli uffici di diretta collaborazione delle autorità, dei collaboratori a qualsiasi titolo di imprese fornitrici di beni o servizi o che realizzano opere in favore dell’amministrazione, si precisa quanto segue.</w:t>
      </w:r>
    </w:p>
    <w:p>
      <w:pPr>
        <w:pStyle w:val="Normal"/>
        <w:tabs>
          <w:tab w:val="clear" w:pos="720"/>
          <w:tab w:val="left" w:pos="1440" w:leader="none"/>
        </w:tabs>
        <w:ind w:left="720"/>
        <w:jc w:val="both"/>
        <w:rPr>
          <w:rFonts w:ascii="Arial" w:hAnsi="Arial" w:cs="Arial"/>
          <w:sz w:val="22"/>
          <w:szCs w:val="22"/>
        </w:rPr>
      </w:pPr>
      <w:r>
        <w:rPr>
          <w:rFonts w:cs="Arial" w:ascii="Arial" w:hAnsi="Arial"/>
          <w:sz w:val="22"/>
          <w:szCs w:val="22"/>
          <w:highlight w:val="white"/>
        </w:rPr>
        <w:t xml:space="preserve">L’art. 54 del D.Lgs. 165/2001, così come modificato dall’art. 1, comma 44, della L. 190/2012, dispone che ciascuna pubblica amministrazione definisce, con procedura aperta alla partecipazione e previo parere obbligatorio del proprio Organismo Indipendente di Valutazione, un proprio codice di comportamento che integra </w:t>
      </w:r>
      <w:r>
        <w:rPr>
          <w:rFonts w:cs="Arial" w:ascii="Arial" w:hAnsi="Arial"/>
          <w:sz w:val="22"/>
          <w:szCs w:val="22"/>
        </w:rPr>
        <w:t xml:space="preserve">e specifica </w:t>
      </w:r>
      <w:r>
        <w:rPr>
          <w:rFonts w:cs="Arial" w:ascii="Arial" w:hAnsi="Arial"/>
          <w:sz w:val="22"/>
          <w:szCs w:val="22"/>
          <w:highlight w:val="white"/>
        </w:rPr>
        <w:t>il codice di comportamento di cui al DPR 62/2013 (il codice di comportamento nazionale per i dipendenti pubblici).</w:t>
      </w:r>
    </w:p>
    <w:p>
      <w:pPr>
        <w:pStyle w:val="Normal"/>
        <w:tabs>
          <w:tab w:val="clear" w:pos="720"/>
          <w:tab w:val="left" w:pos="1440" w:leader="none"/>
        </w:tabs>
        <w:ind w:left="720"/>
        <w:jc w:val="both"/>
        <w:rPr>
          <w:rFonts w:ascii="Arial" w:hAnsi="Arial" w:cs="Arial"/>
          <w:sz w:val="22"/>
          <w:szCs w:val="22"/>
        </w:rPr>
      </w:pPr>
      <w:r>
        <w:rPr>
          <w:rFonts w:cs="Arial" w:ascii="Arial" w:hAnsi="Arial"/>
          <w:sz w:val="22"/>
          <w:szCs w:val="22"/>
          <w:highlight w:val="white"/>
        </w:rPr>
        <w:t>Il Codice di comportamento è una misura di prevenzione della corruzione fondamentale in quanto i principi in esso contenuti definiscono i comportamenti eticamente e legalmente adeguati nelle diverse situazioni critiche, prevedendo regole specifiche volte ad evitare il presentarsi di alcuni specifici rischi.</w:t>
      </w:r>
    </w:p>
    <w:p>
      <w:pPr>
        <w:pStyle w:val="Normal"/>
        <w:tabs>
          <w:tab w:val="clear" w:pos="720"/>
          <w:tab w:val="left" w:pos="1440" w:leader="none"/>
        </w:tabs>
        <w:ind w:left="720"/>
        <w:jc w:val="both"/>
        <w:rPr>
          <w:rFonts w:ascii="Arial" w:hAnsi="Arial" w:cs="Arial"/>
          <w:sz w:val="22"/>
          <w:szCs w:val="22"/>
        </w:rPr>
      </w:pPr>
      <w:r>
        <w:rPr>
          <w:rFonts w:cs="Arial" w:ascii="Arial" w:hAnsi="Arial"/>
          <w:sz w:val="22"/>
          <w:szCs w:val="22"/>
          <w:highlight w:val="white"/>
        </w:rPr>
        <w:t>Il Comune di Marano sul Panaro ha approvato nel 2014, con deliberazione di Giunta n. 2 del 21.01.2014, il Codice di Comportamento per i dipendenti dell’Ente che indica i principi cui i dipendenti devono ispirarsi nell’agire quotidiano, che è stata preceduta da una procedura aperta finalizzata a recepire eventuali osservazioni ex art. 54 del D.Lgs. n. 165/2001.</w:t>
      </w:r>
    </w:p>
    <w:p>
      <w:pPr>
        <w:pStyle w:val="Normal"/>
        <w:tabs>
          <w:tab w:val="clear" w:pos="720"/>
          <w:tab w:val="left" w:pos="1440" w:leader="none"/>
        </w:tabs>
        <w:ind w:left="720"/>
        <w:jc w:val="both"/>
        <w:rPr>
          <w:rFonts w:ascii="Arial" w:hAnsi="Arial" w:cs="Arial"/>
          <w:sz w:val="22"/>
          <w:szCs w:val="22"/>
        </w:rPr>
      </w:pPr>
      <w:r>
        <w:rPr>
          <w:rFonts w:cs="Arial" w:ascii="Arial" w:hAnsi="Arial"/>
          <w:sz w:val="22"/>
          <w:szCs w:val="22"/>
          <w:highlight w:val="white"/>
        </w:rPr>
        <w:t xml:space="preserve">Sono stati pertanto individuati gli </w:t>
      </w:r>
      <w:r>
        <w:rPr>
          <w:rFonts w:cs="Arial" w:ascii="Arial" w:hAnsi="Arial"/>
          <w:i/>
          <w:iCs/>
          <w:sz w:val="22"/>
          <w:szCs w:val="22"/>
          <w:highlight w:val="white"/>
        </w:rPr>
        <w:t>stakeholder</w:t>
      </w:r>
      <w:r>
        <w:rPr>
          <w:rFonts w:cs="Arial" w:ascii="Arial" w:hAnsi="Arial"/>
          <w:sz w:val="22"/>
          <w:szCs w:val="22"/>
          <w:highlight w:val="white"/>
        </w:rPr>
        <w:t xml:space="preserve"> e si è provveduto alla pubblicazione sul sito </w:t>
      </w:r>
      <w:r>
        <w:rPr>
          <w:rFonts w:eastAsia="Times New Roman" w:cs="Arial" w:ascii="Arial" w:hAnsi="Arial"/>
          <w:sz w:val="22"/>
          <w:szCs w:val="22"/>
          <w:highlight w:val="white"/>
          <w:lang w:eastAsia="it-IT"/>
        </w:rPr>
        <w:t xml:space="preserve">istituzionale dell'Ente dello schema di codice, dell'avviso e della relativa modulistica per raccogliere le osservazioni. Non sono pervenute, nei termini assegnati, osservazioni. Si è inoltre provveduto ad acquisire il prescritto preventivo parere obbligatorio del Nucleo di Valutazione. </w:t>
      </w:r>
    </w:p>
    <w:p>
      <w:pPr>
        <w:pStyle w:val="Normal"/>
        <w:tabs>
          <w:tab w:val="clear" w:pos="720"/>
          <w:tab w:val="left" w:pos="1440" w:leader="none"/>
        </w:tabs>
        <w:ind w:left="720"/>
        <w:jc w:val="both"/>
        <w:rPr>
          <w:rFonts w:ascii="Arial" w:hAnsi="Arial" w:cs="Arial"/>
          <w:sz w:val="22"/>
          <w:szCs w:val="22"/>
        </w:rPr>
      </w:pPr>
      <w:r>
        <w:rPr>
          <w:rFonts w:cs="Arial" w:ascii="Arial" w:hAnsi="Arial"/>
          <w:sz w:val="22"/>
          <w:szCs w:val="22"/>
          <w:highlight w:val="white"/>
        </w:rPr>
        <w:t>Si è poi provveduto a comunicare e diffondere via mail fra tutto il personale il Codice stesso,  segnalandone la rilevanza e quindi la necessità di prestare la massima attenzione a tutti gli articoli contenuti nel Codice, sia nazionale che integrativo. Esso è pubblicato sul sito istituzionale dell’Amministrazione nella sezione “Amministrazione Trasparente”, sottosezione di primo livello “Disposizioni Generali”, sottosezione di secondo livello “Atti Generali”.</w:t>
      </w:r>
    </w:p>
    <w:p>
      <w:pPr>
        <w:pStyle w:val="Normal"/>
        <w:tabs>
          <w:tab w:val="clear" w:pos="720"/>
          <w:tab w:val="left" w:pos="1440" w:leader="none"/>
        </w:tabs>
        <w:ind w:left="720"/>
        <w:jc w:val="both"/>
        <w:rPr>
          <w:rFonts w:ascii="Arial" w:hAnsi="Arial" w:cs="Arial"/>
          <w:sz w:val="22"/>
          <w:szCs w:val="22"/>
        </w:rPr>
      </w:pPr>
      <w:r>
        <w:rPr>
          <w:rFonts w:cs="Arial" w:ascii="Arial" w:hAnsi="Arial"/>
          <w:sz w:val="22"/>
          <w:szCs w:val="22"/>
          <w:highlight w:val="white"/>
        </w:rPr>
        <w:t>Nell’ambito dei contratti, incarichi e collaborazioni di diretta competenza di ciascun Responsabile di Settore, sussiste l’obbligo di mettere a disposizione (di norma in forma telematica) dei soggetti contraenti il Codice di comportamento, nazionale e del Comune di Marano sul Panaro, e di inserire negli atti di affidamento/incarico/collaborazione specifiche clausole di impegno all’osservanza del codice medesimo, ai sensi dell’art. 1, commi 3 e 4, del Codice dell’Ente. Infatti l’applicabilità del nuovo Codice, nazionale e integrativo locale, si estende a tutti i collaboratori o consulenti, con qualsiasi tipologia di contratto o incarico e a qualsiasi titolo, ai titolari di organi e di incarichi negli uffici di diretta collaborazione alla autorità politiche, nonché nei confronti dei collaboratori a qualsiasi titolo di imprese fornitrici di beni e servizi o che realizzano opere in favore dell’Amministrazione. Il Segretario comunale monitora, anche attraverso l’attività di controllo successivo di regolarità amministrativa, che negli atti di affidamento/incarico/collaborazione vengano inserite specifiche clausole di impegno all’osservanza del codice medesimo, ai sensi dell’art. 1, commi 3 e 4, del Codice dell’Ente.</w:t>
      </w:r>
    </w:p>
    <w:p>
      <w:pPr>
        <w:pStyle w:val="Normal"/>
        <w:tabs>
          <w:tab w:val="clear" w:pos="720"/>
          <w:tab w:val="left" w:pos="1440" w:leader="none"/>
        </w:tabs>
        <w:ind w:left="720"/>
        <w:jc w:val="both"/>
        <w:rPr>
          <w:rFonts w:ascii="Arial" w:hAnsi="Arial" w:cs="Arial"/>
          <w:sz w:val="22"/>
          <w:szCs w:val="22"/>
          <w:highlight w:val="white"/>
        </w:rPr>
      </w:pPr>
      <w:r>
        <w:rPr>
          <w:rFonts w:cs="Arial" w:ascii="Arial" w:hAnsi="Arial"/>
          <w:sz w:val="22"/>
          <w:szCs w:val="22"/>
          <w:highlight w:val="white"/>
        </w:rPr>
        <w:t xml:space="preserve">Il RPCT vigila, con la collaborazione dei Responsabili, sul rispetto del Codice di comportamento da parte dei dipendenti al fine di avviare tempestivamente, qualora necessario, le conseguenti misure disciplinari individuate dalla legge. </w:t>
      </w:r>
    </w:p>
    <w:p>
      <w:pPr>
        <w:pStyle w:val="Normal"/>
        <w:tabs>
          <w:tab w:val="clear" w:pos="720"/>
          <w:tab w:val="left" w:pos="1440" w:leader="none"/>
        </w:tabs>
        <w:jc w:val="both"/>
        <w:rPr>
          <w:rFonts w:ascii="Arial" w:hAnsi="Arial" w:cs="Arial"/>
          <w:sz w:val="22"/>
          <w:szCs w:val="22"/>
        </w:rPr>
      </w:pPr>
      <w:r>
        <w:rPr>
          <w:rFonts w:cs="Arial" w:ascii="Arial" w:hAnsi="Arial"/>
          <w:sz w:val="22"/>
          <w:szCs w:val="22"/>
        </w:rPr>
      </w:r>
    </w:p>
    <w:p>
      <w:pPr>
        <w:pStyle w:val="Normal"/>
        <w:ind w:left="720"/>
        <w:jc w:val="both"/>
        <w:rPr>
          <w:rFonts w:ascii="Arial" w:hAnsi="Arial" w:eastAsia="Times New Roman" w:cs="Arial"/>
          <w:sz w:val="22"/>
          <w:szCs w:val="22"/>
          <w:highlight w:val="white"/>
          <w:lang w:eastAsia="it-IT"/>
        </w:rPr>
      </w:pPr>
      <w:r>
        <w:rPr>
          <w:rFonts w:eastAsia="Times New Roman" w:cs="Arial" w:ascii="Arial" w:hAnsi="Arial"/>
          <w:sz w:val="22"/>
          <w:szCs w:val="22"/>
          <w:highlight w:val="white"/>
          <w:lang w:eastAsia="it-IT"/>
        </w:rPr>
        <w:t>A seguito delle indicazioni contenute nella delibera n.177/2020 di Anac, a partire dall’anno 2021 si è proceduto alla revisione del Codice, attivando un procedimento di consultazione pubblica per la raccolta di osservazioni da parte degli stakeholder analogo a quello sopra descritto ed acquisendo il prescritto parere favorevole del Nucleo di valutazione. Il nuovo Codice è quindi stato approvato dalla Giunta comunale in data 23 marzo 2022 e nel corso dell’anno 2022 sono state attivate opportune attività di formazione per tutti i dipendenti.</w:t>
      </w:r>
    </w:p>
    <w:p>
      <w:pPr>
        <w:pStyle w:val="Normal"/>
        <w:ind w:left="720"/>
        <w:jc w:val="both"/>
        <w:rPr>
          <w:rFonts w:ascii="Arial" w:hAnsi="Arial" w:eastAsia="Times New Roman" w:cs="Arial"/>
          <w:sz w:val="22"/>
          <w:szCs w:val="22"/>
          <w:highlight w:val="white"/>
          <w:lang w:eastAsia="it-IT"/>
        </w:rPr>
      </w:pPr>
      <w:r>
        <w:rPr>
          <w:rFonts w:eastAsia="Times New Roman" w:cs="Arial" w:ascii="Arial" w:hAnsi="Arial"/>
          <w:sz w:val="22"/>
          <w:szCs w:val="22"/>
          <w:highlight w:val="white"/>
          <w:lang w:eastAsia="it-IT"/>
        </w:rPr>
        <w:t>Inoltre nell’autunno 2023 è stato messo a disposizione dei dipendenti un ulteriore percorso formativo, sempre in modalità e-learning, per l’approfondimento delle tematiche in oggetto.</w:t>
      </w:r>
    </w:p>
    <w:p>
      <w:pPr>
        <w:pStyle w:val="Normal"/>
        <w:ind w:left="720"/>
        <w:jc w:val="both"/>
        <w:rPr>
          <w:rFonts w:ascii="Arial" w:hAnsi="Arial" w:eastAsia="Times New Roman" w:cs="Arial"/>
          <w:sz w:val="22"/>
          <w:szCs w:val="22"/>
          <w:highlight w:val="white"/>
          <w:lang w:eastAsia="it-IT"/>
        </w:rPr>
      </w:pPr>
      <w:r>
        <w:rPr>
          <w:rFonts w:eastAsia="Times New Roman" w:cs="Arial" w:ascii="Arial" w:hAnsi="Arial"/>
          <w:sz w:val="22"/>
          <w:szCs w:val="22"/>
          <w:highlight w:val="white"/>
          <w:lang w:eastAsia="it-IT"/>
        </w:rPr>
        <w:t>Si segnala infine che nel corso del 2025 non sono stati avviati accertamenti sulla violazione del Codice, né procedimenti penali a carico di dipendenti.</w:t>
      </w:r>
    </w:p>
    <w:p>
      <w:pPr>
        <w:pStyle w:val="Normal"/>
        <w:ind w:left="720"/>
        <w:jc w:val="both"/>
        <w:rPr>
          <w:rFonts w:ascii="Arial" w:hAnsi="Arial" w:eastAsia="Times New Roman" w:cs="Arial"/>
          <w:sz w:val="22"/>
          <w:szCs w:val="22"/>
          <w:highlight w:val="white"/>
          <w:lang w:eastAsia="it-IT"/>
        </w:rPr>
      </w:pPr>
      <w:r>
        <w:rPr>
          <w:rFonts w:eastAsia="Times New Roman" w:cs="Arial" w:ascii="Arial" w:hAnsi="Arial"/>
          <w:sz w:val="22"/>
          <w:szCs w:val="22"/>
          <w:highlight w:val="white"/>
          <w:lang w:eastAsia="it-IT"/>
        </w:rPr>
      </w:r>
    </w:p>
    <w:p>
      <w:pPr>
        <w:pStyle w:val="P"/>
        <w:spacing w:lineRule="auto" w:line="240" w:before="0" w:after="0"/>
        <w:ind w:left="720"/>
        <w:rPr>
          <w:rFonts w:ascii="Arial" w:hAnsi="Arial" w:cs="Arial"/>
          <w:sz w:val="22"/>
          <w:szCs w:val="22"/>
        </w:rPr>
      </w:pPr>
      <w:r>
        <w:rPr>
          <w:rFonts w:cs="Arial" w:ascii="Arial" w:hAnsi="Arial"/>
          <w:b/>
          <w:sz w:val="22"/>
          <w:szCs w:val="22"/>
          <w:highlight w:val="white"/>
        </w:rPr>
        <w:t>- inconferibilità e incompatibilità degli incarichiassegnati</w:t>
      </w:r>
      <w:r>
        <w:rPr>
          <w:rFonts w:cs="Arial" w:ascii="Arial" w:hAnsi="Arial"/>
          <w:sz w:val="22"/>
          <w:szCs w:val="22"/>
          <w:highlight w:val="white"/>
        </w:rPr>
        <w:t>: il</w:t>
      </w:r>
      <w:r>
        <w:rPr>
          <w:rFonts w:eastAsia="Calibri" w:cs="Arial" w:ascii="Arial" w:hAnsi="Arial"/>
          <w:sz w:val="22"/>
          <w:szCs w:val="22"/>
          <w:highlight w:val="white"/>
          <w:lang w:eastAsia="en-US"/>
        </w:rPr>
        <w:t xml:space="preserve"> D.Lgs. n. 39/2013 ha identificato sia delle ipotesi di inconferibilità degli incarichi dirigenziali (in caso di particolari attività/incarichi precedenti e nel caso in cui i soggetti chiamati ad assumere l’incarico siano stati condannati penalmente per delitti contro la pubblica amministrazione) sia delle ipotesi di incompatibilità (relative al contemporaneo svolgimento di più attività/incarichi). L’intervento del Legislatore, ravvisabile nelle norme racchiuse nei capi II, III, IV e V del D.Lgs. 39/2013, nasce dalla valutazione sulla necessità, in un’ottica di prevenzione, da un lato, di evitare il concretizzarsi di rischi corruttivi derivanti da pratiche collusive che potrebbero nascere dalle particolari cariche ricoperte e, dall’altro, di evitare in via precauzionale l’affidamento di incarichi a soggetti condannati anche se con sentenza non ancora passata in giudicato.</w:t>
      </w:r>
    </w:p>
    <w:p>
      <w:pPr>
        <w:pStyle w:val="Normal"/>
        <w:ind w:left="720"/>
        <w:jc w:val="both"/>
        <w:rPr>
          <w:rFonts w:ascii="Arial" w:hAnsi="Arial" w:cs="Arial"/>
          <w:sz w:val="22"/>
          <w:szCs w:val="22"/>
        </w:rPr>
      </w:pPr>
      <w:r>
        <w:rPr>
          <w:rFonts w:cs="Arial" w:ascii="Arial" w:hAnsi="Arial"/>
          <w:sz w:val="22"/>
          <w:szCs w:val="22"/>
          <w:highlight w:val="white"/>
        </w:rPr>
        <w:t>Le situazioni di incompatibilità specifiche per posizioni dirigenziali sono disciplinate dai Capi V e VI del D.Lgs.. 39/2013. Nello specifico, l’incarico dirigenziale all’interno di una amministrazione pubblica è incompatibile con:</w:t>
      </w:r>
    </w:p>
    <w:p>
      <w:pPr>
        <w:pStyle w:val="Normal"/>
        <w:ind w:left="720"/>
        <w:jc w:val="both"/>
        <w:rPr>
          <w:rFonts w:ascii="Arial" w:hAnsi="Arial" w:cs="Arial"/>
          <w:sz w:val="22"/>
          <w:szCs w:val="22"/>
        </w:rPr>
      </w:pPr>
      <w:r>
        <w:rPr>
          <w:rFonts w:cs="Arial" w:ascii="Arial" w:hAnsi="Arial"/>
          <w:sz w:val="22"/>
          <w:szCs w:val="22"/>
          <w:highlight w:val="white"/>
        </w:rPr>
        <w:t>-incarichi in enti di diritto privato regolati o finanziati dalla pubblica amministrazione che conferisce l’incarico dirigenziale;</w:t>
      </w:r>
    </w:p>
    <w:p>
      <w:pPr>
        <w:pStyle w:val="Normal"/>
        <w:ind w:left="720"/>
        <w:jc w:val="both"/>
        <w:rPr>
          <w:rFonts w:ascii="Arial" w:hAnsi="Arial" w:cs="Arial"/>
          <w:sz w:val="22"/>
          <w:szCs w:val="22"/>
          <w:highlight w:val="white"/>
        </w:rPr>
      </w:pPr>
      <w:r>
        <w:rPr>
          <w:rFonts w:cs="Arial" w:ascii="Arial" w:hAnsi="Arial"/>
          <w:sz w:val="22"/>
          <w:szCs w:val="22"/>
          <w:highlight w:val="white"/>
        </w:rPr>
        <w:t>-lo svolgimento di attività professionali;</w:t>
      </w:r>
    </w:p>
    <w:p>
      <w:pPr>
        <w:pStyle w:val="Normal"/>
        <w:ind w:left="720"/>
        <w:jc w:val="both"/>
        <w:rPr>
          <w:rFonts w:ascii="Arial" w:hAnsi="Arial" w:cs="Arial"/>
          <w:sz w:val="22"/>
          <w:szCs w:val="22"/>
        </w:rPr>
      </w:pPr>
      <w:r>
        <w:rPr>
          <w:rFonts w:cs="Arial" w:ascii="Arial" w:hAnsi="Arial"/>
          <w:sz w:val="22"/>
          <w:szCs w:val="22"/>
          <w:highlight w:val="white"/>
        </w:rPr>
        <w:t>- qualsiasi carica di componente di organi di indirizzo politico.</w:t>
      </w:r>
    </w:p>
    <w:p>
      <w:pPr>
        <w:pStyle w:val="Normal"/>
        <w:ind w:left="720"/>
        <w:jc w:val="both"/>
        <w:rPr>
          <w:rFonts w:ascii="Arial" w:hAnsi="Arial" w:cs="Arial"/>
          <w:sz w:val="22"/>
          <w:szCs w:val="22"/>
        </w:rPr>
      </w:pPr>
      <w:r>
        <w:rPr>
          <w:rFonts w:eastAsia="Times New Roman" w:cs="Arial" w:ascii="Arial" w:hAnsi="Arial"/>
          <w:sz w:val="22"/>
          <w:szCs w:val="22"/>
          <w:highlight w:val="white"/>
          <w:lang w:eastAsia="it-IT"/>
        </w:rPr>
        <w:t>In occasione del conferimento degli incarichi di Posizione Organizzativa,a partire dall’anno 2014,vengono acquisite e pubblicate nella sezione Amministrazione Trasparente le previste dichiarazioni dei Responsabili sulla insussistenza di cause di inconferibilità</w:t>
      </w:r>
      <w:r>
        <w:rPr>
          <w:rFonts w:eastAsia="Times New Roman" w:cs="Arial" w:ascii="Arial" w:hAnsi="Arial"/>
          <w:sz w:val="22"/>
          <w:szCs w:val="22"/>
          <w:lang w:eastAsia="it-IT"/>
        </w:rPr>
        <w:t xml:space="preserve"> e di cause di incompatibilità allo svolgimento dell’incarico; periodicamente vengono condotte verifiche sulla veridicità delle medesime dichiarazioni.</w:t>
      </w:r>
    </w:p>
    <w:p>
      <w:pPr>
        <w:pStyle w:val="Normal"/>
        <w:spacing w:before="0" w:after="259"/>
        <w:ind w:left="720"/>
        <w:rPr>
          <w:rFonts w:ascii="Arial" w:hAnsi="Arial" w:eastAsia="Times New Roman" w:cs="Arial"/>
          <w:sz w:val="22"/>
          <w:szCs w:val="22"/>
          <w:highlight w:val="white"/>
          <w:lang w:eastAsia="it-IT"/>
        </w:rPr>
      </w:pPr>
      <w:r>
        <w:rPr>
          <w:rFonts w:eastAsia="Times New Roman" w:cs="Arial" w:ascii="Arial" w:hAnsi="Arial"/>
          <w:sz w:val="22"/>
          <w:szCs w:val="22"/>
          <w:highlight w:val="white"/>
          <w:lang w:eastAsia="it-IT"/>
        </w:rPr>
      </w:r>
    </w:p>
    <w:p>
      <w:pPr>
        <w:pStyle w:val="Normal"/>
        <w:ind w:left="720"/>
        <w:jc w:val="both"/>
        <w:rPr>
          <w:rFonts w:ascii="Arial" w:hAnsi="Arial" w:cs="Arial"/>
          <w:sz w:val="22"/>
          <w:szCs w:val="22"/>
        </w:rPr>
      </w:pPr>
      <w:r>
        <w:rPr>
          <w:rFonts w:cs="Arial" w:ascii="Arial" w:hAnsi="Arial"/>
          <w:b/>
          <w:sz w:val="22"/>
          <w:szCs w:val="22"/>
          <w:highlight w:val="white"/>
        </w:rPr>
        <w:t>- autorizzazione di incarichi esterni</w:t>
      </w:r>
      <w:r>
        <w:rPr>
          <w:rFonts w:cs="Arial" w:ascii="Arial" w:hAnsi="Arial"/>
          <w:sz w:val="22"/>
          <w:szCs w:val="22"/>
          <w:highlight w:val="white"/>
        </w:rPr>
        <w:t xml:space="preserve"> (di cui al comma 42 della legge n. 190): le autorizzazioni vengono rilasciate dal Sindaco, previa verifica dell’assenza di conflitti di interesse  attuali o potenziali, oltre al puntuale riscontro di tutte le altre condizioni e presupposti legittimanti stabiliti per legge, dal Regolamento di Organizzazione degli Uffici e dei Servizi (artt. 27, 28 e 29) e dal Codice di comportamento dell’Ente (art. 11).</w:t>
      </w:r>
    </w:p>
    <w:p>
      <w:pPr>
        <w:pStyle w:val="Normal"/>
        <w:ind w:left="720"/>
        <w:jc w:val="both"/>
        <w:rPr>
          <w:rFonts w:ascii="Arial" w:hAnsi="Arial" w:cs="Arial"/>
          <w:sz w:val="22"/>
          <w:szCs w:val="22"/>
        </w:rPr>
      </w:pPr>
      <w:r>
        <w:rPr>
          <w:rFonts w:cs="Arial" w:ascii="Arial" w:hAnsi="Arial"/>
          <w:sz w:val="22"/>
          <w:szCs w:val="22"/>
        </w:rPr>
      </w:r>
    </w:p>
    <w:p>
      <w:pPr>
        <w:pStyle w:val="Normal"/>
        <w:ind w:left="720"/>
        <w:jc w:val="both"/>
        <w:rPr>
          <w:rFonts w:ascii="Arial" w:hAnsi="Arial" w:cs="Arial"/>
          <w:sz w:val="22"/>
          <w:szCs w:val="22"/>
        </w:rPr>
      </w:pPr>
      <w:r>
        <w:rPr>
          <w:rFonts w:cs="Arial" w:ascii="Arial" w:hAnsi="Arial"/>
          <w:sz w:val="22"/>
          <w:szCs w:val="22"/>
        </w:rPr>
      </w:r>
    </w:p>
    <w:p>
      <w:pPr>
        <w:pStyle w:val="P"/>
        <w:spacing w:lineRule="auto" w:line="240" w:before="0" w:after="0"/>
        <w:ind w:left="720"/>
        <w:rPr>
          <w:rFonts w:ascii="Arial" w:hAnsi="Arial" w:cs="Arial"/>
          <w:sz w:val="22"/>
          <w:szCs w:val="22"/>
        </w:rPr>
      </w:pPr>
      <w:r>
        <w:rPr>
          <w:rFonts w:cs="Arial" w:ascii="Arial" w:hAnsi="Arial"/>
          <w:sz w:val="22"/>
          <w:szCs w:val="22"/>
          <w:highlight w:val="white"/>
        </w:rPr>
        <w:t xml:space="preserve">- </w:t>
      </w:r>
      <w:r>
        <w:rPr>
          <w:rFonts w:cs="Arial" w:ascii="Arial" w:hAnsi="Arial"/>
          <w:b/>
          <w:sz w:val="22"/>
          <w:szCs w:val="22"/>
          <w:highlight w:val="white"/>
        </w:rPr>
        <w:t>svolgimento di attività successiva alla cessazione del rapporto di lavoro</w:t>
      </w:r>
      <w:r>
        <w:rPr>
          <w:rFonts w:cs="Arial" w:ascii="Arial" w:hAnsi="Arial"/>
          <w:sz w:val="22"/>
          <w:szCs w:val="22"/>
          <w:highlight w:val="white"/>
        </w:rPr>
        <w:t xml:space="preserve">: </w:t>
      </w:r>
      <w:r>
        <w:rPr>
          <w:rFonts w:eastAsia="Calibri" w:cs="Arial" w:ascii="Arial" w:hAnsi="Arial"/>
          <w:sz w:val="22"/>
          <w:szCs w:val="22"/>
          <w:highlight w:val="white"/>
          <w:lang w:eastAsia="en-US"/>
        </w:rPr>
        <w:t>la L. 190/2012 ha modificato l’articolo 53 del D.Lgs. 165/2001 introducendo importanti novità per contenere il rischio di situazioni di corruzione connesse all’impiego del dipendente successivamente alla cessazione del rapporto di lavoro. L’obiettivo del Legislatore è, infatti, quello di evitare che il dipendente pubblico possa sfruttare la posizione acquisita all’interno dell’Amministrazione per ottenere condizioni di lavoro maggiormente vantaggiose con soggetti con cui è entrato in contatto durante lo svolgimento della sua regolare attività amministrativa.</w:t>
      </w:r>
    </w:p>
    <w:p>
      <w:pPr>
        <w:pStyle w:val="Normal"/>
        <w:ind w:left="720"/>
        <w:jc w:val="both"/>
        <w:rPr>
          <w:rFonts w:ascii="Arial" w:hAnsi="Arial" w:cs="Arial"/>
          <w:sz w:val="22"/>
          <w:szCs w:val="22"/>
        </w:rPr>
      </w:pPr>
      <w:r>
        <w:rPr>
          <w:rFonts w:cs="Arial" w:ascii="Arial" w:hAnsi="Arial"/>
          <w:sz w:val="22"/>
          <w:szCs w:val="22"/>
          <w:highlight w:val="white"/>
        </w:rPr>
        <w:t>L’attuazione di tale misura si sostanzia:</w:t>
      </w:r>
    </w:p>
    <w:p>
      <w:pPr>
        <w:pStyle w:val="Normal"/>
        <w:ind w:left="720"/>
        <w:jc w:val="both"/>
        <w:rPr>
          <w:rFonts w:ascii="Arial" w:hAnsi="Arial" w:cs="Arial"/>
          <w:sz w:val="22"/>
          <w:szCs w:val="22"/>
        </w:rPr>
      </w:pPr>
      <w:r>
        <w:rPr>
          <w:rFonts w:cs="Arial" w:ascii="Arial" w:hAnsi="Arial"/>
          <w:sz w:val="22"/>
          <w:szCs w:val="22"/>
          <w:highlight w:val="white"/>
        </w:rPr>
        <w:t>-nell’introduzione di clausole nei contratti di lavoro che vietino ai dipendenti di svolgere attività lavorativa (a titolo di lavoro subordinato o di lavoro autonomo) nei tre anni successivi alla cessazione del rapporto di lavoro nei confronti di destinatari di provvedimenti adottati con l’apporto decisionale del dipendente;</w:t>
      </w:r>
    </w:p>
    <w:p>
      <w:pPr>
        <w:pStyle w:val="Normal"/>
        <w:ind w:left="720"/>
        <w:jc w:val="both"/>
        <w:rPr>
          <w:rFonts w:ascii="Arial" w:hAnsi="Arial" w:cs="Arial"/>
          <w:sz w:val="22"/>
          <w:szCs w:val="22"/>
        </w:rPr>
      </w:pPr>
      <w:r>
        <w:rPr>
          <w:rFonts w:eastAsia="Times New Roman" w:cs="Arial" w:ascii="Arial" w:hAnsi="Arial"/>
          <w:sz w:val="22"/>
          <w:szCs w:val="22"/>
          <w:highlight w:val="white"/>
          <w:lang w:eastAsia="it-IT"/>
        </w:rPr>
        <w:t>-nell’inserimento nei bandi di gara della condizione di non aver concluso contratti di lavoro con ex dipendenti che nei tre anni precedenti abbiano esercitato poteri negoziali per conto delle PP.AA. nei loro confronti e nell’esclusione dai bandi di gara di quei soggetti per i quali si sia accertata tale situazione.</w:t>
      </w:r>
    </w:p>
    <w:p>
      <w:pPr>
        <w:pStyle w:val="Normal"/>
        <w:ind w:left="720"/>
        <w:jc w:val="both"/>
        <w:rPr>
          <w:rFonts w:ascii="Arial" w:hAnsi="Arial" w:cs="Arial"/>
          <w:sz w:val="22"/>
          <w:szCs w:val="22"/>
        </w:rPr>
      </w:pPr>
      <w:r>
        <w:rPr>
          <w:rFonts w:cs="Arial" w:ascii="Arial" w:hAnsi="Arial"/>
          <w:sz w:val="22"/>
          <w:szCs w:val="22"/>
          <w:highlight w:val="white"/>
        </w:rPr>
        <w:t>Al fine di una corretta attuazione delle misure di prevenzione, si ritiene opportuno procedere all’applicazione di questa misura per quei dipendenti che, in virtù del ruolo e della posizione ricoperti nell’Amministrazione, hanno esercitato la potestà o il potere negoziale con riguardo a specifici procedimenti o procedure.</w:t>
      </w:r>
    </w:p>
    <w:p>
      <w:pPr>
        <w:pStyle w:val="Normal"/>
        <w:tabs>
          <w:tab w:val="left" w:pos="720" w:leader="none"/>
        </w:tabs>
        <w:ind w:left="720"/>
        <w:jc w:val="both"/>
        <w:rPr>
          <w:rFonts w:ascii="Arial" w:hAnsi="Arial" w:cs="Arial"/>
          <w:sz w:val="22"/>
          <w:szCs w:val="22"/>
        </w:rPr>
      </w:pPr>
      <w:r>
        <w:rPr>
          <w:rFonts w:cs="Arial" w:ascii="Arial" w:hAnsi="Arial"/>
          <w:sz w:val="22"/>
          <w:szCs w:val="22"/>
          <w:highlight w:val="white"/>
        </w:rPr>
        <w:t>Nella stesura dei bandi di gara o negli atti prodromici agli affidamenti, anche mediante procedura negoziata, deve essere inserita la condizione soggettiva di non aver concluso contratti di lavoro subordinato o autonomo e comunque di non aver attribuito incarichi ad ex dipendenti o incaricati del Comune di Marano sul Panaro che hanno esercitato nei loro confronti poteri autoritativi o negoziali per conto dell’Ente medesimo negli ultimi tre anni di servizio (tale limite opera per il triennio successivo alla cessazione del rapporto con l’Ente).  Per i soggetti nei confronti dei quali emerga, a seguito di controlli, il verificarsi della condizione soggettiva di cui sopra, il Responsabile competente deve disporre l’esclusione dalle procedure di affidamento.</w:t>
      </w:r>
    </w:p>
    <w:p>
      <w:pPr>
        <w:pStyle w:val="Normal"/>
        <w:ind w:left="720"/>
        <w:jc w:val="both"/>
        <w:rPr>
          <w:rFonts w:ascii="Arial" w:hAnsi="Arial" w:cs="Arial"/>
          <w:sz w:val="22"/>
          <w:szCs w:val="22"/>
        </w:rPr>
      </w:pPr>
      <w:r>
        <w:rPr>
          <w:rFonts w:cs="Arial" w:ascii="Arial" w:hAnsi="Arial"/>
          <w:sz w:val="22"/>
          <w:szCs w:val="22"/>
          <w:highlight w:val="white"/>
        </w:rPr>
        <w:t xml:space="preserve">Nei contratti di assunzione del personale e negli atti di incarico deve essere inserita la clausola che prevede il divieto di prestare attività lavorativa (a titolo di lavoro subordinato o autonomo) per i tre anni successivi alla cessazione del rapporto con il Comune di Marano sul Panaro nei confronti dei destinatari di provvedimenti adottati o di contratti conclusi con l’apporto decisionale del dipendente o incaricato cessato dal servizio. Alla cessazione del rapporto ciascun Responsabile deve segnalare ai dipendenti o incaricati cessati che negli ultimi tre anni abbiano esercitato poteri autoritativi o negoziali per conto del Comune di Marano sul Panaro, la disciplina contenuta nell’art. 53, comma 16 </w:t>
      </w:r>
      <w:r>
        <w:rPr>
          <w:rFonts w:cs="Arial" w:ascii="Arial" w:hAnsi="Arial"/>
          <w:i/>
          <w:iCs/>
          <w:sz w:val="22"/>
          <w:szCs w:val="22"/>
          <w:highlight w:val="white"/>
        </w:rPr>
        <w:t>ter</w:t>
      </w:r>
      <w:r>
        <w:rPr>
          <w:rFonts w:cs="Arial" w:ascii="Arial" w:hAnsi="Arial"/>
          <w:sz w:val="22"/>
          <w:szCs w:val="22"/>
          <w:highlight w:val="white"/>
        </w:rPr>
        <w:t xml:space="preserve">, del D.Lgs. n. 165/2013 o nell’art. 21 del D.Lgs. n.39/2013. Qualora dovesse emergere la violazione dei divieti contenuti nell’art. 53, comma 16 </w:t>
      </w:r>
      <w:r>
        <w:rPr>
          <w:rFonts w:cs="Arial" w:ascii="Arial" w:hAnsi="Arial"/>
          <w:i/>
          <w:iCs/>
          <w:sz w:val="22"/>
          <w:szCs w:val="22"/>
          <w:highlight w:val="white"/>
        </w:rPr>
        <w:t>ter</w:t>
      </w:r>
      <w:r>
        <w:rPr>
          <w:rFonts w:cs="Arial" w:ascii="Arial" w:hAnsi="Arial"/>
          <w:sz w:val="22"/>
          <w:szCs w:val="22"/>
          <w:highlight w:val="white"/>
        </w:rPr>
        <w:t>, del D.Lgs. 165/2001 e nell’art. 21 del D.Lgs. 39/2013, il Responsabile che ha accertato la violazione ne deve dare informazione al Segretario comunale affinché sia avviata un’azione giudiziale diretta ad ottenere il risarcimento del danno nei confronti degli ex dipendenti o incaricati</w:t>
      </w:r>
      <w:r>
        <w:rPr>
          <w:rFonts w:cs="Arial" w:ascii="Arial" w:hAnsi="Arial"/>
          <w:sz w:val="22"/>
          <w:szCs w:val="22"/>
        </w:rPr>
        <w:t>.</w:t>
      </w:r>
    </w:p>
    <w:p>
      <w:pPr>
        <w:pStyle w:val="Normal"/>
        <w:ind w:left="720"/>
        <w:jc w:val="both"/>
        <w:rPr>
          <w:rFonts w:ascii="Arial" w:hAnsi="Arial" w:cs="Arial"/>
          <w:sz w:val="22"/>
          <w:szCs w:val="22"/>
        </w:rPr>
      </w:pPr>
      <w:r>
        <w:rPr>
          <w:rFonts w:cs="Arial" w:ascii="Arial" w:hAnsi="Arial"/>
          <w:sz w:val="22"/>
          <w:szCs w:val="22"/>
        </w:rPr>
        <w:t>Si ritiene che tali misure siano in linea con quanto previsto da ANAC nel PNA 2022, che contiene un apposito approfondimento sul divieto di pantouflage.</w:t>
      </w:r>
    </w:p>
    <w:p>
      <w:pPr>
        <w:pStyle w:val="Normal"/>
        <w:ind w:left="720"/>
        <w:jc w:val="both"/>
        <w:rPr>
          <w:rFonts w:ascii="Arial" w:hAnsi="Arial" w:cs="Arial"/>
          <w:sz w:val="22"/>
          <w:szCs w:val="22"/>
        </w:rPr>
      </w:pPr>
      <w:r>
        <w:rPr>
          <w:rFonts w:cs="Arial" w:ascii="Arial" w:hAnsi="Arial"/>
          <w:sz w:val="22"/>
          <w:szCs w:val="22"/>
        </w:rPr>
        <w:t>Infine, con delibera n. 493 approvata dal Consiglio di Anac il 25 settembre 2024, l’Autorità ha fornito importanti Linee guida in materia. Tali indicazioni verranno recepite dall’Ente nel corso del 2025.</w:t>
      </w:r>
    </w:p>
    <w:p>
      <w:pPr>
        <w:pStyle w:val="Normal"/>
        <w:ind w:left="720"/>
        <w:rPr>
          <w:rFonts w:ascii="Arial" w:hAnsi="Arial" w:cs="Arial"/>
          <w:sz w:val="22"/>
          <w:szCs w:val="22"/>
        </w:rPr>
      </w:pPr>
      <w:r>
        <w:rPr>
          <w:rFonts w:cs="Arial" w:ascii="Arial" w:hAnsi="Arial"/>
          <w:sz w:val="22"/>
          <w:szCs w:val="22"/>
        </w:rPr>
      </w:r>
    </w:p>
    <w:p>
      <w:pPr>
        <w:pStyle w:val="Normal"/>
        <w:ind w:left="720"/>
        <w:jc w:val="both"/>
        <w:rPr>
          <w:rFonts w:ascii="Arial" w:hAnsi="Arial" w:cs="Arial"/>
          <w:sz w:val="22"/>
          <w:szCs w:val="22"/>
        </w:rPr>
      </w:pPr>
      <w:r>
        <w:rPr>
          <w:rFonts w:cs="Arial" w:ascii="Arial" w:hAnsi="Arial"/>
          <w:b/>
          <w:sz w:val="22"/>
          <w:szCs w:val="22"/>
          <w:highlight w:val="white"/>
        </w:rPr>
        <w:t>- astensione in caso di conflitto di interessi:</w:t>
      </w:r>
      <w:r>
        <w:rPr>
          <w:rFonts w:cs="Arial" w:ascii="Arial" w:hAnsi="Arial"/>
          <w:sz w:val="22"/>
          <w:szCs w:val="22"/>
          <w:highlight w:val="white"/>
        </w:rPr>
        <w:t xml:space="preserve"> la L.190/2012 ha introdotto l’articolo 6 </w:t>
      </w:r>
      <w:r>
        <w:rPr>
          <w:rFonts w:cs="Arial" w:ascii="Arial" w:hAnsi="Arial"/>
          <w:i/>
          <w:iCs/>
          <w:sz w:val="22"/>
          <w:szCs w:val="22"/>
          <w:highlight w:val="white"/>
        </w:rPr>
        <w:t>bis</w:t>
      </w:r>
      <w:r>
        <w:rPr>
          <w:rFonts w:cs="Arial" w:ascii="Arial" w:hAnsi="Arial"/>
          <w:sz w:val="22"/>
          <w:szCs w:val="22"/>
          <w:highlight w:val="white"/>
        </w:rPr>
        <w:t xml:space="preserve"> nella L. 241/1990 riguardante il conflitto di interessi. La norma stabilisce l’astensione, in particolare per i responsabili dei procedimenti amministrativi e per i titolari degli uffici competenti, nell’adozione di pareri, nelle valutazioni tecniche, nella redazione degli atti endoprocedimentali o nell’adozione del provvedimento finale, in qualsiasi situazione di conflitto di interessi. In capo ai medesimi soggetti è, inoltre, previsto l’obbligo di segnalazione di ogni situazione di conflitto anche solo potenziale. L’allegato 1 del PNA sottolinea come tale norma vada letta congiuntamente all’articolo 6 del DPR n. 62/2013 nel quale viene specificato che il dipendente pubblico deve astenersi dall’adozione di decisioni o da attività che possano riguardare relazioni personali o rapporti di collaborazione con soggetti privati.</w:t>
      </w:r>
    </w:p>
    <w:p>
      <w:pPr>
        <w:pStyle w:val="Normal"/>
        <w:ind w:left="720"/>
        <w:jc w:val="both"/>
        <w:rPr>
          <w:rFonts w:ascii="Arial" w:hAnsi="Arial" w:cs="Arial"/>
          <w:sz w:val="22"/>
          <w:szCs w:val="22"/>
        </w:rPr>
      </w:pPr>
      <w:r>
        <w:rPr>
          <w:rFonts w:eastAsia="Times New Roman" w:cs="Arial" w:ascii="Arial" w:hAnsi="Arial"/>
          <w:sz w:val="22"/>
          <w:szCs w:val="22"/>
          <w:highlight w:val="white"/>
          <w:lang w:eastAsia="it-IT"/>
        </w:rPr>
        <w:t>In tutti quei casi in cui un funzionario amministrativo è coinvolto in una situazione di conflitto di interessi è il Responsabile a valutare la situazione e a comunicare se la partecipazione alle attività decisionali o lo svolgimento delle mansioni da parte del funzionario stesso possano ledere (o meno) l’agire amministrativo. Nel caso in cui ad essere coinvolto in una situazione di conflitto sia lo stesso Responsabile, la valutazione sarà fatta dal RPCT.</w:t>
      </w:r>
    </w:p>
    <w:p>
      <w:pPr>
        <w:pStyle w:val="Normal"/>
        <w:ind w:left="720"/>
        <w:jc w:val="both"/>
        <w:rPr>
          <w:rFonts w:ascii="Arial" w:hAnsi="Arial" w:cs="Arial"/>
          <w:sz w:val="22"/>
          <w:szCs w:val="22"/>
        </w:rPr>
      </w:pPr>
      <w:r>
        <w:rPr>
          <w:rFonts w:cs="Arial" w:ascii="Arial" w:hAnsi="Arial"/>
          <w:sz w:val="22"/>
          <w:szCs w:val="22"/>
          <w:highlight w:val="white"/>
        </w:rPr>
        <w:t>L’allegato 1 del PNA stabilisce che “</w:t>
      </w:r>
      <w:r>
        <w:rPr>
          <w:rFonts w:cs="Arial" w:ascii="Arial" w:hAnsi="Arial"/>
          <w:i/>
          <w:iCs/>
          <w:sz w:val="22"/>
          <w:szCs w:val="22"/>
          <w:highlight w:val="white"/>
        </w:rPr>
        <w:t>La violazione sostanziale della norma, che si realizza con il compimento di un atto illegittimo dà luogo a responsabilità disciplinare del dipendente suscettibile di essere sanzionata con l’irrogazione di sanzioni all’esito del relativo procedimento, oltre a poter costituire fonte di illegittimità del procedimento e del provvedimento conclusivo dello stesso quale sintomo di eccesso di potere sotto il profilo dello sviamento della funzione tipica dell’azione amministrativa</w:t>
      </w:r>
      <w:r>
        <w:rPr>
          <w:rFonts w:cs="Arial" w:ascii="Arial" w:hAnsi="Arial"/>
          <w:sz w:val="22"/>
          <w:szCs w:val="22"/>
          <w:highlight w:val="white"/>
        </w:rPr>
        <w:t>”.</w:t>
      </w:r>
    </w:p>
    <w:p>
      <w:pPr>
        <w:pStyle w:val="Normal"/>
        <w:ind w:left="720"/>
        <w:jc w:val="both"/>
        <w:rPr>
          <w:rFonts w:ascii="Arial" w:hAnsi="Arial" w:cs="Arial"/>
          <w:sz w:val="22"/>
          <w:szCs w:val="22"/>
        </w:rPr>
      </w:pPr>
      <w:r>
        <w:rPr>
          <w:rFonts w:cs="Arial" w:ascii="Arial" w:hAnsi="Arial"/>
          <w:sz w:val="22"/>
          <w:szCs w:val="22"/>
          <w:highlight w:val="white"/>
        </w:rPr>
        <w:t>Il RPCT monitora, con la collaborazione dei Responsabili, i casi di possibile conflitto di interessi in cui potrebbero venire a trovarsi i dipendenti dell’Ente</w:t>
      </w:r>
      <w:r>
        <w:rPr>
          <w:rFonts w:cs="Arial" w:ascii="Arial" w:hAnsi="Arial"/>
          <w:sz w:val="22"/>
          <w:szCs w:val="22"/>
        </w:rPr>
        <w:t>.</w:t>
      </w:r>
    </w:p>
    <w:p>
      <w:pPr>
        <w:pStyle w:val="Normal"/>
        <w:ind w:left="720"/>
        <w:rPr>
          <w:rFonts w:ascii="Arial" w:hAnsi="Arial" w:eastAsia="Times New Roman" w:cs="Arial"/>
          <w:sz w:val="22"/>
          <w:szCs w:val="22"/>
          <w:highlight w:val="white"/>
          <w:lang w:eastAsia="it-IT"/>
        </w:rPr>
      </w:pPr>
      <w:r>
        <w:rPr>
          <w:rFonts w:eastAsia="Times New Roman" w:cs="Arial" w:ascii="Arial" w:hAnsi="Arial"/>
          <w:sz w:val="22"/>
          <w:szCs w:val="22"/>
          <w:highlight w:val="white"/>
          <w:lang w:eastAsia="it-IT"/>
        </w:rPr>
      </w:r>
    </w:p>
    <w:p>
      <w:pPr>
        <w:pStyle w:val="Normal"/>
        <w:ind w:left="720"/>
        <w:jc w:val="both"/>
        <w:rPr>
          <w:rFonts w:ascii="Arial" w:hAnsi="Arial" w:cs="Arial"/>
          <w:sz w:val="22"/>
          <w:szCs w:val="22"/>
        </w:rPr>
      </w:pPr>
      <w:r>
        <w:rPr>
          <w:rFonts w:cs="Arial" w:ascii="Arial" w:hAnsi="Arial"/>
          <w:sz w:val="22"/>
          <w:szCs w:val="22"/>
          <w:highlight w:val="white"/>
        </w:rPr>
        <w:t xml:space="preserve">- </w:t>
      </w:r>
      <w:r>
        <w:rPr>
          <w:rFonts w:cs="Arial" w:ascii="Arial" w:hAnsi="Arial"/>
          <w:b/>
          <w:sz w:val="22"/>
          <w:szCs w:val="22"/>
          <w:highlight w:val="white"/>
        </w:rPr>
        <w:t>formazione di commissioni, assegnazione agli uffici, conferimento di incarichi dirigenziali in caso di condanna penale per delitti contro la pubblica amministrazione:</w:t>
      </w:r>
      <w:r>
        <w:rPr>
          <w:rFonts w:cs="Arial" w:ascii="Arial" w:hAnsi="Arial"/>
          <w:sz w:val="22"/>
          <w:szCs w:val="22"/>
          <w:highlight w:val="white"/>
        </w:rPr>
        <w:t xml:space="preserve"> in base a quanto previsto dall’art. 35 </w:t>
      </w:r>
      <w:r>
        <w:rPr>
          <w:rFonts w:cs="Arial" w:ascii="Arial" w:hAnsi="Arial"/>
          <w:i/>
          <w:iCs/>
          <w:sz w:val="22"/>
          <w:szCs w:val="22"/>
          <w:highlight w:val="white"/>
        </w:rPr>
        <w:t>bis</w:t>
      </w:r>
      <w:r>
        <w:rPr>
          <w:rFonts w:cs="Arial" w:ascii="Arial" w:hAnsi="Arial"/>
          <w:sz w:val="22"/>
          <w:szCs w:val="22"/>
          <w:highlight w:val="white"/>
        </w:rPr>
        <w:t xml:space="preserve"> del D.Lgs. n. 165/2001 e dall’art. 3 del D.Lgs. n. 39/2013, coloro che sono stati condannati (anche con sentenza non passata in giudicato, per i reati previsti nel capo I del titolo II del libro secondo del codice penale) non possono fare parte, anche con compiti di segreteria, di commissioni per l’affidamento di commesse né possono essere assegnati con funzioni direttive agli uffici che rappresentano le caratteristiche indicate dal citato art. 35 </w:t>
      </w:r>
      <w:r>
        <w:rPr>
          <w:rFonts w:cs="Arial" w:ascii="Arial" w:hAnsi="Arial"/>
          <w:i/>
          <w:iCs/>
          <w:sz w:val="22"/>
          <w:szCs w:val="22"/>
          <w:highlight w:val="white"/>
        </w:rPr>
        <w:t>bis</w:t>
      </w:r>
      <w:r>
        <w:rPr>
          <w:rFonts w:cs="Arial" w:ascii="Arial" w:hAnsi="Arial"/>
          <w:sz w:val="22"/>
          <w:szCs w:val="22"/>
          <w:highlight w:val="white"/>
        </w:rPr>
        <w:t xml:space="preserve"> del D.Lgs. n. 165/2001. Secondo quanto previsto nel PNA “</w:t>
      </w:r>
      <w:r>
        <w:rPr>
          <w:rFonts w:cs="Arial" w:ascii="Arial" w:hAnsi="Arial"/>
          <w:i/>
          <w:iCs/>
          <w:sz w:val="22"/>
          <w:szCs w:val="22"/>
          <w:highlight w:val="white"/>
        </w:rPr>
        <w:t>l’accertamento avviene mediante acquisizione d’ufficio ovvero mediante dichiarazione sostitutiva di certificazione resa dall’interessato</w:t>
      </w:r>
      <w:r>
        <w:rPr>
          <w:rFonts w:cs="Arial" w:ascii="Arial" w:hAnsi="Arial"/>
          <w:sz w:val="22"/>
          <w:szCs w:val="22"/>
          <w:highlight w:val="white"/>
        </w:rPr>
        <w:t>”.</w:t>
      </w:r>
    </w:p>
    <w:p>
      <w:pPr>
        <w:pStyle w:val="Normal"/>
        <w:ind w:left="720"/>
        <w:jc w:val="both"/>
        <w:rPr>
          <w:rFonts w:ascii="Arial" w:hAnsi="Arial" w:cs="Arial"/>
          <w:sz w:val="22"/>
          <w:szCs w:val="22"/>
        </w:rPr>
      </w:pPr>
      <w:r>
        <w:rPr>
          <w:rFonts w:cs="Arial" w:ascii="Arial" w:hAnsi="Arial"/>
          <w:sz w:val="22"/>
          <w:szCs w:val="22"/>
          <w:highlight w:val="white"/>
        </w:rPr>
        <w:t>Le circostanze esplicitamente richiamate dal PNA, nelle quali si rende necessario tale controllo sono:</w:t>
      </w:r>
    </w:p>
    <w:p>
      <w:pPr>
        <w:pStyle w:val="Normal"/>
        <w:ind w:left="720"/>
        <w:jc w:val="both"/>
        <w:rPr>
          <w:rFonts w:ascii="Arial" w:hAnsi="Arial" w:cs="Arial"/>
          <w:sz w:val="22"/>
          <w:szCs w:val="22"/>
        </w:rPr>
      </w:pPr>
      <w:r>
        <w:rPr>
          <w:rFonts w:cs="Arial" w:ascii="Arial" w:hAnsi="Arial"/>
          <w:sz w:val="22"/>
          <w:szCs w:val="22"/>
          <w:highlight w:val="white"/>
        </w:rPr>
        <w:t>-nel momento di formazione delle commissioni;</w:t>
      </w:r>
    </w:p>
    <w:p>
      <w:pPr>
        <w:pStyle w:val="Normal"/>
        <w:ind w:left="720"/>
        <w:jc w:val="both"/>
        <w:rPr>
          <w:rFonts w:ascii="Arial" w:hAnsi="Arial" w:cs="Arial"/>
          <w:sz w:val="22"/>
          <w:szCs w:val="22"/>
        </w:rPr>
      </w:pPr>
      <w:r>
        <w:rPr>
          <w:rFonts w:cs="Arial" w:ascii="Arial" w:hAnsi="Arial"/>
          <w:sz w:val="22"/>
          <w:szCs w:val="22"/>
          <w:highlight w:val="white"/>
        </w:rPr>
        <w:t>-nel momento del conferimento di incarichi dirigenziali;</w:t>
      </w:r>
    </w:p>
    <w:p>
      <w:pPr>
        <w:pStyle w:val="Normal"/>
        <w:ind w:left="720"/>
        <w:jc w:val="both"/>
        <w:rPr>
          <w:rFonts w:ascii="Arial" w:hAnsi="Arial" w:cs="Arial"/>
          <w:sz w:val="22"/>
          <w:szCs w:val="22"/>
        </w:rPr>
      </w:pPr>
      <w:r>
        <w:rPr>
          <w:rFonts w:cs="Arial" w:ascii="Arial" w:hAnsi="Arial"/>
          <w:sz w:val="22"/>
          <w:szCs w:val="22"/>
          <w:highlight w:val="white"/>
        </w:rPr>
        <w:t>-all’atto di assegnazione di funzioni direttive di uffici a funzionari o altri collaboratori.</w:t>
      </w:r>
    </w:p>
    <w:p>
      <w:pPr>
        <w:pStyle w:val="Normal"/>
        <w:ind w:left="720"/>
        <w:jc w:val="both"/>
        <w:rPr>
          <w:rFonts w:ascii="Arial" w:hAnsi="Arial" w:cs="Arial"/>
          <w:sz w:val="22"/>
          <w:szCs w:val="22"/>
        </w:rPr>
      </w:pPr>
      <w:r>
        <w:rPr>
          <w:rFonts w:eastAsia="Times New Roman" w:cs="Arial" w:ascii="Arial" w:hAnsi="Arial"/>
          <w:sz w:val="22"/>
          <w:szCs w:val="22"/>
          <w:highlight w:val="white"/>
          <w:lang w:eastAsia="it-IT"/>
        </w:rPr>
        <w:t>Il PNA sottolinea come in caso di violazione delle previsioni di inconferibilità, secondo l’art. 17 del D.Lgs. n. 39/2013, l’incarico è nullo e si applicano le sanzioni di cui all’art. 18 del medesimo Decreto. Nel caso in cui venisse pronunciata una sentenza di assoluzione per lo stesso reato verrebbe a mancare la situazione ostativa.</w:t>
      </w:r>
    </w:p>
    <w:p>
      <w:pPr>
        <w:pStyle w:val="Normal"/>
        <w:ind w:left="720"/>
        <w:jc w:val="both"/>
        <w:rPr>
          <w:rFonts w:ascii="Arial" w:hAnsi="Arial" w:cs="Arial"/>
          <w:sz w:val="22"/>
          <w:szCs w:val="22"/>
        </w:rPr>
      </w:pPr>
      <w:r>
        <w:rPr>
          <w:rFonts w:cs="Arial" w:ascii="Arial" w:hAnsi="Arial"/>
          <w:sz w:val="22"/>
          <w:szCs w:val="22"/>
          <w:highlight w:val="white"/>
        </w:rPr>
        <w:t>Per una piena attuazione della misura in oggetto si stabilisce che, qualora la nomina di commissioni di gara e di concorso o incarichi dirigenziali siano preceduti da avvisi di selezione, siano espressamente inserite negli avvisi le condizioni ostative al conferimento (precedenti penali); inoltre si stabilisce che per le persone individuate la nomina deve essere preceduta dall’accertamento dei precedenti penali mediante dichiarazione sostitutiva di certificazione resa dall’interessato nei termini e alle condizioni dell’art. 46 del D.P.R. 445 del 2000 (art. 20 del D.Lgs. 39 del 2013).</w:t>
      </w:r>
    </w:p>
    <w:p>
      <w:pPr>
        <w:pStyle w:val="Normal"/>
        <w:ind w:left="720"/>
        <w:rPr>
          <w:rFonts w:ascii="Arial" w:hAnsi="Arial" w:cs="Arial"/>
          <w:b/>
          <w:bCs/>
          <w:sz w:val="22"/>
          <w:szCs w:val="22"/>
          <w:highlight w:val="white"/>
        </w:rPr>
      </w:pPr>
      <w:r>
        <w:rPr>
          <w:rFonts w:cs="Arial" w:ascii="Arial" w:hAnsi="Arial"/>
          <w:b/>
          <w:bCs/>
          <w:sz w:val="22"/>
          <w:szCs w:val="22"/>
          <w:highlight w:val="white"/>
        </w:rPr>
      </w:r>
    </w:p>
    <w:p>
      <w:pPr>
        <w:pStyle w:val="Normal"/>
        <w:jc w:val="both"/>
        <w:rPr>
          <w:rFonts w:ascii="Arial" w:hAnsi="Arial" w:cs="Arial"/>
          <w:sz w:val="22"/>
          <w:szCs w:val="22"/>
          <w:highlight w:val="white"/>
        </w:rPr>
      </w:pPr>
      <w:r>
        <w:rPr>
          <w:rFonts w:cs="Arial" w:ascii="Arial" w:hAnsi="Arial"/>
          <w:sz w:val="22"/>
          <w:szCs w:val="22"/>
          <w:highlight w:val="white"/>
        </w:rPr>
      </w:r>
    </w:p>
    <w:p>
      <w:pPr>
        <w:pStyle w:val="Normal"/>
        <w:jc w:val="both"/>
        <w:rPr>
          <w:rFonts w:ascii="Arial" w:hAnsi="Arial" w:cs="Arial"/>
          <w:sz w:val="22"/>
          <w:szCs w:val="22"/>
        </w:rPr>
      </w:pPr>
      <w:r>
        <w:rPr>
          <w:rFonts w:cs="Arial" w:ascii="Arial" w:hAnsi="Arial"/>
          <w:sz w:val="22"/>
          <w:szCs w:val="22"/>
          <w:highlight w:val="white"/>
        </w:rPr>
        <w:t xml:space="preserve">- infine,  per quanto concerne </w:t>
      </w:r>
      <w:r>
        <w:rPr>
          <w:rFonts w:cs="Arial" w:ascii="Arial" w:hAnsi="Arial"/>
          <w:b/>
          <w:sz w:val="22"/>
          <w:szCs w:val="22"/>
          <w:highlight w:val="white"/>
        </w:rPr>
        <w:t xml:space="preserve">l’aspetto formativo, </w:t>
      </w:r>
      <w:r>
        <w:rPr>
          <w:rFonts w:cs="Arial" w:ascii="Arial" w:hAnsi="Arial"/>
          <w:sz w:val="22"/>
          <w:szCs w:val="22"/>
          <w:highlight w:val="white"/>
        </w:rPr>
        <w:t>essenziale per il mantenimento e lo sviluppo del Piano nel tempo, si ribadisce come, in linea con la Convenzione delle Nazioni unite contro la corruzione, adottata dall’Assemblea generale dell’O.N.U. il 31 ottobre 2003, la L. 190/2012 attribuisca particolare importanza alla formazione del personale addetto alle aree a più elevato rischio, per cui è prevista, in occasione della predisposizione del Piano della formazione, particolare attenzione alle tematiche della trasparenza e della integrità, sia dal punto di vista della conoscenza della normativa e degli strumenti previsti nel Piano che dal punto di vista valoriale, in modo da accrescere sempre più lo sviluppo del senso etico.</w:t>
      </w:r>
    </w:p>
    <w:p>
      <w:pPr>
        <w:pStyle w:val="Normal"/>
        <w:jc w:val="both"/>
        <w:rPr>
          <w:rFonts w:ascii="Arial" w:hAnsi="Arial" w:cs="Arial"/>
          <w:sz w:val="22"/>
          <w:szCs w:val="22"/>
          <w:highlight w:val="white"/>
        </w:rPr>
      </w:pPr>
      <w:r>
        <w:rPr>
          <w:rFonts w:cs="Arial" w:ascii="Arial" w:hAnsi="Arial"/>
          <w:sz w:val="22"/>
          <w:szCs w:val="22"/>
          <w:highlight w:val="white"/>
        </w:rPr>
      </w:r>
    </w:p>
    <w:p>
      <w:pPr>
        <w:pStyle w:val="Normal"/>
        <w:jc w:val="both"/>
        <w:rPr>
          <w:rFonts w:ascii="Arial" w:hAnsi="Arial" w:cs="Arial"/>
          <w:sz w:val="22"/>
          <w:szCs w:val="22"/>
        </w:rPr>
      </w:pPr>
      <w:r>
        <w:rPr>
          <w:rFonts w:eastAsia="Tahoma" w:cs="Arial" w:ascii="Arial" w:hAnsi="Arial"/>
          <w:b/>
          <w:sz w:val="22"/>
          <w:szCs w:val="22"/>
          <w:highlight w:val="white"/>
        </w:rPr>
        <w:t>Sistema dei controlli interni</w:t>
      </w:r>
    </w:p>
    <w:p>
      <w:pPr>
        <w:pStyle w:val="P"/>
        <w:spacing w:lineRule="auto" w:line="240" w:before="0" w:after="0"/>
        <w:rPr>
          <w:rFonts w:ascii="Arial" w:hAnsi="Arial" w:cs="Arial"/>
          <w:sz w:val="22"/>
          <w:szCs w:val="22"/>
        </w:rPr>
      </w:pPr>
      <w:r>
        <w:rPr>
          <w:rFonts w:eastAsia="Tahoma" w:cs="Arial" w:ascii="Arial" w:hAnsi="Arial"/>
          <w:sz w:val="22"/>
          <w:szCs w:val="22"/>
          <w:highlight w:val="white"/>
          <w:lang w:eastAsia="en-US"/>
        </w:rPr>
        <w:t>L’istituzione del sistema dei controlli interni, che prevede fra gli altri la verifica della regolarità amministrativa e contabile degli atti, rappresenta un valido strumento di prevenzione della corruzione.</w:t>
      </w:r>
    </w:p>
    <w:p>
      <w:pPr>
        <w:pStyle w:val="Normal"/>
        <w:jc w:val="both"/>
        <w:rPr>
          <w:rFonts w:ascii="Arial" w:hAnsi="Arial" w:cs="Arial"/>
          <w:sz w:val="22"/>
          <w:szCs w:val="22"/>
        </w:rPr>
      </w:pPr>
      <w:r>
        <w:rPr>
          <w:rFonts w:eastAsia="Tahoma" w:cs="Arial" w:ascii="Arial" w:hAnsi="Arial"/>
          <w:sz w:val="22"/>
          <w:szCs w:val="22"/>
          <w:highlight w:val="white"/>
        </w:rPr>
        <w:t xml:space="preserve">Con deliberazione consiliare n. 71 del 21.12.2012 è stato approvato il Regolamento del sistema dei controlli interni, in attuazione delle disposizioni del D.L. 174/2012 (convertito con L. 213/2012). </w:t>
      </w:r>
    </w:p>
    <w:p>
      <w:pPr>
        <w:pStyle w:val="Normal"/>
        <w:jc w:val="both"/>
        <w:rPr>
          <w:rFonts w:ascii="Arial" w:hAnsi="Arial" w:cs="Arial"/>
          <w:sz w:val="22"/>
          <w:szCs w:val="22"/>
        </w:rPr>
      </w:pPr>
      <w:r>
        <w:rPr>
          <w:rFonts w:eastAsia="Tahoma" w:cs="Arial" w:ascii="Arial" w:hAnsi="Arial"/>
          <w:sz w:val="22"/>
          <w:szCs w:val="22"/>
          <w:highlight w:val="white"/>
        </w:rPr>
        <w:t>Il sistema dei controlli interni è stato applicato dal Comune di Marano sul Panaro in modo funzionale agli adempimenti previsti dalla Legge 190/2012 con particolare riguardo al controllo di regolarità amministrativa e contabile. Questo tipo di controllo è svolto sotto la direzione e il coordinamento del Segretario comunale, individuato Responsabile dei controlli interni dell’Ente. Al Segretario, attraverso la collaborazione dei Responsabili di Settore, è affidato il compito di verificare l’andamento del sistema integrato dei controlli interni, di definire eventuali indirizzi e linee guida per garantire la funzionalità, l’efficacia e l’adeguatezza degli strumenti e delle metodologie di controllo adottate dall’Ente e di individuare e promuovere i necessari correttivi per superare le eventuali criticità riscontrate.</w:t>
      </w:r>
    </w:p>
    <w:p>
      <w:pPr>
        <w:pStyle w:val="Normal"/>
        <w:jc w:val="both"/>
        <w:rPr>
          <w:rFonts w:ascii="Arial" w:hAnsi="Arial" w:cs="Arial"/>
          <w:sz w:val="22"/>
          <w:szCs w:val="22"/>
        </w:rPr>
      </w:pPr>
      <w:r>
        <w:rPr>
          <w:rFonts w:eastAsia="Tahoma" w:cs="Arial" w:ascii="Arial" w:hAnsi="Arial"/>
          <w:sz w:val="22"/>
          <w:szCs w:val="22"/>
          <w:highlight w:val="white"/>
        </w:rPr>
        <w:t xml:space="preserve">Questa funzione di presidio di legittimità, efficacia ed efficienza dell'azione amministrativa si pone in rapporto dinamico e di stretta complementarietà con la funzione di prevenzione del fenomeno della corruzione: il rispetto delle regole e delle procedure infatti costituiscono un importante strumento di contrasto. </w:t>
      </w:r>
    </w:p>
    <w:p>
      <w:pPr>
        <w:pStyle w:val="Normal"/>
        <w:jc w:val="both"/>
        <w:rPr>
          <w:rFonts w:ascii="Arial" w:hAnsi="Arial" w:eastAsia="Tahoma" w:cs="Arial"/>
          <w:sz w:val="22"/>
          <w:szCs w:val="22"/>
        </w:rPr>
      </w:pPr>
      <w:r>
        <w:rPr>
          <w:rFonts w:eastAsia="Tahoma" w:cs="Arial" w:ascii="Arial" w:hAnsi="Arial"/>
          <w:sz w:val="22"/>
          <w:szCs w:val="22"/>
          <w:highlight w:val="white"/>
        </w:rPr>
        <w:t>La valutazione degli atti nell’ambito del controllo successivo di regolarità amministrativa comprende infatti anche la valutazione del rispetto delle norme di trasparenza e dei tempi procedimentali.</w:t>
      </w:r>
    </w:p>
    <w:p>
      <w:pPr>
        <w:pStyle w:val="Normal"/>
        <w:jc w:val="both"/>
        <w:rPr>
          <w:rFonts w:ascii="Arial" w:hAnsi="Arial" w:cs="Arial"/>
          <w:sz w:val="22"/>
          <w:szCs w:val="22"/>
        </w:rPr>
      </w:pPr>
      <w:r>
        <w:rPr>
          <w:rFonts w:cs="Arial" w:ascii="Arial" w:hAnsi="Arial"/>
          <w:sz w:val="22"/>
          <w:szCs w:val="22"/>
        </w:rPr>
      </w:r>
    </w:p>
    <w:p>
      <w:pPr>
        <w:pStyle w:val="Normal"/>
        <w:spacing w:lineRule="exact" w:line="260"/>
        <w:jc w:val="both"/>
        <w:rPr>
          <w:rFonts w:ascii="Arial" w:hAnsi="Arial" w:cs="Arial"/>
          <w:sz w:val="22"/>
          <w:szCs w:val="22"/>
        </w:rPr>
      </w:pPr>
      <w:r>
        <w:rPr>
          <w:rFonts w:cs="Arial" w:ascii="Arial" w:hAnsi="Arial"/>
          <w:sz w:val="22"/>
          <w:szCs w:val="22"/>
        </w:rPr>
        <w:t>Con deliberazione della Giunta comunale n. 66 del 13/09/2023 si è provveduto ad implementare il  sistema dei controlli interni con riferimento agli atti relativi ai progetti finanziati con risorse del PNRR, con riguardo sia alle verifiche di legalità e regolarità delle procedure e delle spese, espressamente demandate dall’art. 9, comma 2, del DM 11.10.2021 ai controlli amministrativo-contabili previsti dall’ordinamento vigente, sia riguardo alla rendicontazione tra obiettivi programmati e azioni realizzate. Si è stabilito, in particolare, che il controllo di regolarità amministrativa successivo, debba applicarsi, oltre che agli atti espressamente indicati nel regolamento a tutti gli atti che si riferiscono a finanziamenti legati al PNRR. Si evidenzia infatti che il quadro operativo per l’attuazione del PNRR si innesta sul vigente sistema amministrativo di prevenzione della corruzione di cui alla legge n. 190/2012 e ai relativi decreti attuativi, con la conseguenza che il sistema di gestione e controllo del PNRR a livello di ente deve essere realizzato in sinergia con la governance locale di prevenzione della corruzione, implementando la sinergia ed il flusso di informazioni tra le strutture dedicate agli interventi PNRR e il RPCT, anche ai fini di garantire il coordinamento dell’attuazione delle misure del Piano triennale di prevenzione della corruzione (ora PIAO) con quelle introdotte in attuazione delle istruzioni tecniche emanate dalla RGS. Per tali ragioni, le funzioni di audit del PNRR sono state assegnate ai medesimi soggetti competenti allo svolgimento dei controlli di regolarità amministrativo contabile in base al vigente regolamento sul sistema dei controlli.</w:t>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jc w:val="both"/>
        <w:rPr>
          <w:rFonts w:ascii="Arial" w:hAnsi="Arial" w:eastAsia="Tahoma" w:cs="Arial"/>
          <w:sz w:val="22"/>
          <w:szCs w:val="22"/>
          <w:highlight w:val="white"/>
        </w:rPr>
      </w:pPr>
      <w:r>
        <w:rPr>
          <w:rFonts w:eastAsia="Tahoma" w:cs="Arial" w:ascii="Arial" w:hAnsi="Arial"/>
          <w:sz w:val="22"/>
          <w:szCs w:val="22"/>
          <w:highlight w:val="white"/>
        </w:rPr>
      </w:r>
    </w:p>
    <w:p>
      <w:pPr>
        <w:pStyle w:val="Normal"/>
        <w:jc w:val="both"/>
        <w:rPr>
          <w:rFonts w:ascii="Arial" w:hAnsi="Arial" w:eastAsia="Tahoma" w:cs="Arial"/>
          <w:b/>
          <w:sz w:val="22"/>
          <w:szCs w:val="22"/>
          <w:highlight w:val="white"/>
        </w:rPr>
      </w:pPr>
      <w:r>
        <w:rPr>
          <w:rFonts w:eastAsia="Tahoma" w:cs="Arial" w:ascii="Arial" w:hAnsi="Arial"/>
          <w:b/>
          <w:sz w:val="22"/>
          <w:szCs w:val="22"/>
          <w:highlight w:val="white"/>
        </w:rPr>
        <w:t>Monitoraggio sull’idoneità e l’attuazione delle misure di prevenzione della corruzione</w:t>
      </w:r>
    </w:p>
    <w:p>
      <w:pPr>
        <w:pStyle w:val="Normal"/>
        <w:jc w:val="both"/>
        <w:rPr>
          <w:rFonts w:ascii="Arial" w:hAnsi="Arial" w:eastAsia="Tahoma" w:cs="Arial"/>
          <w:sz w:val="22"/>
          <w:szCs w:val="22"/>
          <w:highlight w:val="white"/>
        </w:rPr>
      </w:pPr>
      <w:r>
        <w:rPr>
          <w:rFonts w:eastAsia="Tahoma" w:cs="Arial" w:ascii="Arial" w:hAnsi="Arial"/>
          <w:sz w:val="22"/>
          <w:szCs w:val="22"/>
          <w:highlight w:val="white"/>
        </w:rPr>
        <w:t>Con specifico riferimento a quanto previsto nel  PNA 2022, il monitoraggio delle misure predisposte per la prevenzione del rischio corruttivo avviene con cadenza semestrale, mediante autovalutazioni effettuate dai singoli Responsabili di Settore (monitoraggio di primo livello), cui seguono verifiche successive in merito alla veridicità delle informazioni rese (monitoraggio di secondo livello) da parte del RPCT coadiuvato dagli altri componenti dell’ufficio per i controlli interni (internal audit), al fine di garantire un giudizio tendenzialmente più neutrale ed oggettivo di quello espresso dal singolo Responsabile.</w:t>
      </w:r>
    </w:p>
    <w:p>
      <w:pPr>
        <w:pStyle w:val="Normal"/>
        <w:spacing w:lineRule="exact" w:line="260" w:before="240" w:after="0"/>
        <w:rPr>
          <w:rFonts w:ascii="Arial" w:hAnsi="Arial" w:eastAsia="" w:cs="Arial" w:eastAsiaTheme="majorEastAsia"/>
          <w:color w:themeColor="accent1" w:themeShade="bf" w:val="2F5496"/>
          <w:sz w:val="22"/>
          <w:szCs w:val="22"/>
        </w:rPr>
      </w:pPr>
      <w:r>
        <w:rPr>
          <w:rFonts w:eastAsia="" w:cs="Arial" w:eastAsiaTheme="majorEastAsia" w:ascii="Arial" w:hAnsi="Arial"/>
          <w:color w:themeColor="accent1" w:themeShade="bf" w:val="2F5496"/>
          <w:sz w:val="22"/>
          <w:szCs w:val="22"/>
        </w:rPr>
      </w:r>
    </w:p>
    <w:p>
      <w:pPr>
        <w:pStyle w:val="Normal"/>
        <w:spacing w:lineRule="exact" w:line="260" w:before="240" w:after="0"/>
        <w:rPr>
          <w:rFonts w:ascii="Arial" w:hAnsi="Arial" w:eastAsia="" w:cs="Arial" w:eastAsiaTheme="majorEastAsia"/>
          <w:color w:themeColor="accent1" w:themeShade="bf" w:val="2F5496"/>
        </w:rPr>
      </w:pPr>
      <w:r>
        <w:rPr>
          <w:rFonts w:eastAsia="" w:cs="Arial" w:ascii="Arial" w:hAnsi="Arial" w:eastAsiaTheme="majorEastAsia"/>
          <w:color w:themeColor="accent1" w:themeShade="bf" w:val="2F5496"/>
        </w:rPr>
        <w:t>Programmazione e attuazione delle misure di trasparenza</w:t>
      </w:r>
    </w:p>
    <w:p>
      <w:pPr>
        <w:pStyle w:val="Normal"/>
        <w:spacing w:lineRule="exact" w:line="260" w:before="120" w:after="0"/>
        <w:jc w:val="both"/>
        <w:rPr>
          <w:rFonts w:ascii="Arial" w:hAnsi="Arial" w:cs="Arial"/>
          <w:sz w:val="22"/>
          <w:szCs w:val="22"/>
        </w:rPr>
      </w:pPr>
      <w:r>
        <w:rPr>
          <w:rFonts w:cs="Arial" w:ascii="Arial" w:hAnsi="Arial"/>
          <w:sz w:val="22"/>
          <w:szCs w:val="22"/>
        </w:rPr>
        <w:t>Il Programma triennale della trasparenza e l'integrità del Comune, previsto dall'art. 10, D.Lgs. 14 marzo 2013, n. 33, costituisce, in coerenza con l'interpretazione dell'ANAC (deliberazione n. 50/2013), una sezione del Piano triennale per la prevenzione della corruzione e viene ora ricompreso nel presente Piano.</w:t>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Si riportano di seguito le misure organizzative in tema di trasparenza che l’Amministrazione ha finora attuato ed intende attuare, in coerenza con quanto previsto dal D.Lgs. 14 marzo 2013 e dal D.Lgs. 25 maggio 2016, n. 97.</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b/>
          <w:sz w:val="22"/>
          <w:szCs w:val="22"/>
        </w:rPr>
        <w:t>Il Responsabile della trasparenza</w:t>
      </w:r>
    </w:p>
    <w:p>
      <w:pPr>
        <w:pStyle w:val="Normal"/>
        <w:jc w:val="both"/>
        <w:rPr>
          <w:rFonts w:ascii="Arial" w:hAnsi="Arial" w:cs="Arial"/>
          <w:sz w:val="22"/>
          <w:szCs w:val="22"/>
        </w:rPr>
      </w:pPr>
      <w:r>
        <w:rPr>
          <w:rFonts w:cs="Arial" w:ascii="Arial" w:hAnsi="Arial"/>
          <w:sz w:val="22"/>
          <w:szCs w:val="22"/>
        </w:rPr>
        <w:t xml:space="preserve">Il Responsabile per la trasparenza per il Comune è individuato nel </w:t>
      </w:r>
      <w:r>
        <w:rPr>
          <w:rFonts w:cs="Arial" w:ascii="Arial" w:hAnsi="Arial"/>
          <w:b/>
          <w:bCs/>
          <w:sz w:val="22"/>
          <w:szCs w:val="22"/>
        </w:rPr>
        <w:t>Segretario Comunale</w:t>
      </w:r>
      <w:r>
        <w:rPr>
          <w:rFonts w:cs="Arial" w:ascii="Arial" w:hAnsi="Arial"/>
          <w:sz w:val="22"/>
          <w:szCs w:val="22"/>
        </w:rPr>
        <w:t>, responsabile anche per la prevenzione della corruzione.</w:t>
      </w:r>
    </w:p>
    <w:p>
      <w:pPr>
        <w:pStyle w:val="Normal"/>
        <w:jc w:val="both"/>
        <w:rPr>
          <w:rFonts w:ascii="Arial" w:hAnsi="Arial" w:cs="Arial"/>
          <w:sz w:val="22"/>
          <w:szCs w:val="22"/>
        </w:rPr>
      </w:pPr>
      <w:r>
        <w:rPr>
          <w:rFonts w:cs="Arial" w:ascii="Arial" w:hAnsi="Arial"/>
          <w:sz w:val="22"/>
          <w:szCs w:val="22"/>
        </w:rPr>
        <w:t>I compiti del Responsabile per la trasparenza sono i seguenti:</w:t>
      </w:r>
    </w:p>
    <w:p>
      <w:pPr>
        <w:pStyle w:val="Normal"/>
        <w:jc w:val="both"/>
        <w:rPr>
          <w:rFonts w:ascii="Arial" w:hAnsi="Arial" w:cs="Arial"/>
          <w:sz w:val="22"/>
          <w:szCs w:val="22"/>
        </w:rPr>
      </w:pPr>
      <w:r>
        <w:rPr>
          <w:rFonts w:cs="Arial" w:ascii="Arial" w:hAnsi="Arial"/>
          <w:sz w:val="22"/>
          <w:szCs w:val="22"/>
        </w:rPr>
        <w:t>•</w:t>
      </w:r>
      <w:r>
        <w:rPr>
          <w:rFonts w:cs="Arial" w:ascii="Arial" w:hAnsi="Arial"/>
          <w:sz w:val="22"/>
          <w:szCs w:val="22"/>
        </w:rPr>
        <w:t>Svolge 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p>
      <w:pPr>
        <w:pStyle w:val="Normal"/>
        <w:jc w:val="both"/>
        <w:rPr>
          <w:rFonts w:ascii="Arial" w:hAnsi="Arial" w:cs="Arial"/>
          <w:sz w:val="22"/>
          <w:szCs w:val="22"/>
        </w:rPr>
      </w:pPr>
      <w:r>
        <w:rPr>
          <w:rFonts w:cs="Arial" w:ascii="Arial" w:hAnsi="Arial"/>
          <w:sz w:val="22"/>
          <w:szCs w:val="22"/>
        </w:rPr>
        <w:t>•</w:t>
      </w:r>
      <w:r>
        <w:rPr>
          <w:rFonts w:cs="Arial" w:ascii="Arial" w:hAnsi="Arial"/>
          <w:sz w:val="22"/>
          <w:szCs w:val="22"/>
        </w:rPr>
        <w:t>Provvede all'aggiornamento del Programma triennale per la trasparenza e l'integrità (ora Sezione del PTPC), avvalendosi al fine di personale dallo stesso individuato nell’ambito del Settore Amministrativo;</w:t>
      </w:r>
    </w:p>
    <w:p>
      <w:pPr>
        <w:pStyle w:val="Normal"/>
        <w:jc w:val="both"/>
        <w:rPr>
          <w:rFonts w:ascii="Arial" w:hAnsi="Arial" w:cs="Arial"/>
          <w:sz w:val="22"/>
          <w:szCs w:val="22"/>
        </w:rPr>
      </w:pPr>
      <w:r>
        <w:rPr>
          <w:rFonts w:cs="Arial" w:ascii="Arial" w:hAnsi="Arial"/>
          <w:sz w:val="22"/>
          <w:szCs w:val="22"/>
        </w:rPr>
        <w:t>•</w:t>
      </w:r>
      <w:r>
        <w:rPr>
          <w:rFonts w:cs="Arial" w:ascii="Arial" w:hAnsi="Arial"/>
          <w:sz w:val="22"/>
          <w:szCs w:val="22"/>
        </w:rPr>
        <w:t>Controlla e assicura la regolare attuazione dell'accesso civico;</w:t>
      </w:r>
    </w:p>
    <w:p>
      <w:pPr>
        <w:pStyle w:val="Normal"/>
        <w:jc w:val="both"/>
        <w:rPr>
          <w:rFonts w:ascii="Arial" w:hAnsi="Arial" w:cs="Arial"/>
          <w:sz w:val="22"/>
          <w:szCs w:val="22"/>
        </w:rPr>
      </w:pPr>
      <w:r>
        <w:rPr>
          <w:rFonts w:cs="Arial" w:ascii="Arial" w:hAnsi="Arial"/>
          <w:sz w:val="22"/>
          <w:szCs w:val="22"/>
        </w:rPr>
        <w:t>•</w:t>
      </w:r>
      <w:r>
        <w:rPr>
          <w:rFonts w:cs="Arial" w:ascii="Arial" w:hAnsi="Arial"/>
          <w:sz w:val="22"/>
          <w:szCs w:val="22"/>
        </w:rPr>
        <w:t>In relazione alla loro gravità, segnala i casi di inadempimento o di adempimento parziale degli obblighi in materia di pubblicazione previsti dalla normativa vigente, all'ufficio di disciplina, per l'eventuale attivazione del procedimento disciplinare. Il responsabile segnala altresì gli inadempimenti al vertice politico dell'amministrazione, all'OIV ai fini dell'attivazione delle altre forme di responsabilità e all'Autorità nazionale anticorruzione.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b/>
          <w:sz w:val="22"/>
          <w:szCs w:val="22"/>
        </w:rPr>
        <w:t>Il ruolo delle strutture dell’ Ente</w:t>
      </w:r>
    </w:p>
    <w:p>
      <w:pPr>
        <w:pStyle w:val="Normal"/>
        <w:jc w:val="both"/>
        <w:rPr>
          <w:rFonts w:ascii="Arial" w:hAnsi="Arial" w:cs="Arial"/>
          <w:sz w:val="22"/>
          <w:szCs w:val="22"/>
        </w:rPr>
      </w:pPr>
      <w:r>
        <w:rPr>
          <w:rFonts w:cs="Arial" w:ascii="Arial" w:hAnsi="Arial"/>
          <w:sz w:val="22"/>
          <w:szCs w:val="22"/>
        </w:rPr>
        <w:t xml:space="preserve">L’Amministrazione, con la deliberazione di Giunta n. 78/2013 ha assegnato a </w:t>
      </w:r>
      <w:r>
        <w:rPr>
          <w:rFonts w:cs="Arial" w:ascii="Arial" w:hAnsi="Arial"/>
          <w:b/>
          <w:bCs/>
          <w:sz w:val="22"/>
          <w:szCs w:val="22"/>
        </w:rPr>
        <w:t xml:space="preserve">tutti iSettori </w:t>
      </w:r>
      <w:r>
        <w:rPr>
          <w:rFonts w:cs="Arial" w:ascii="Arial" w:hAnsi="Arial"/>
          <w:sz w:val="22"/>
          <w:szCs w:val="22"/>
        </w:rPr>
        <w:t xml:space="preserve">(come evidenziati nell’organigramma) dell’Ente e quindi ai relativi Responsabili </w:t>
      </w:r>
      <w:r>
        <w:rPr>
          <w:rFonts w:cs="Arial" w:ascii="Arial" w:hAnsi="Arial"/>
          <w:b/>
          <w:bCs/>
          <w:sz w:val="22"/>
          <w:szCs w:val="22"/>
        </w:rPr>
        <w:t>la responsabilità</w:t>
      </w:r>
      <w:r>
        <w:rPr>
          <w:rFonts w:cs="Arial" w:ascii="Arial" w:hAnsi="Arial"/>
          <w:sz w:val="22"/>
          <w:szCs w:val="22"/>
        </w:rPr>
        <w:t xml:space="preserve"> (completezza, correttezza e tempestività della pubblicazione) dell’adempimento degli obblighi di pubblicità dei dati e delle informazioni. Ciascun Settore è altresì incaricato di concorrere al completamento ed all’aggiornamento dell’allegato 2) al presente Piano (in quanto schema di riferimento soggetto agli aggiornamenti che si renderanno necessari o utili in relazione allo stato della normativa ed alla disponibilità di risorse tecniche adeguate).</w:t>
      </w:r>
    </w:p>
    <w:p>
      <w:pPr>
        <w:pStyle w:val="Normal"/>
        <w:spacing w:lineRule="atLeast" w:line="100"/>
        <w:jc w:val="both"/>
        <w:rPr>
          <w:rFonts w:ascii="Arial" w:hAnsi="Arial" w:cs="Arial"/>
          <w:sz w:val="22"/>
          <w:szCs w:val="22"/>
        </w:rPr>
      </w:pPr>
      <w:r>
        <w:rPr>
          <w:rFonts w:cs="Arial" w:ascii="Arial" w:hAnsi="Arial"/>
          <w:sz w:val="22"/>
          <w:szCs w:val="22"/>
        </w:rPr>
        <w:t>Ai fini di garantire l’attività di supporto al Segretario comunale in merito al controllo sull'adempimento da parte dell'amministrazione degli obblighi di pubblicazione previsti dalla normativa vigente, viene individuato un referente definito “</w:t>
      </w:r>
      <w:r>
        <w:rPr>
          <w:rFonts w:cs="Arial" w:ascii="Arial" w:hAnsi="Arial"/>
          <w:b/>
          <w:bCs/>
          <w:sz w:val="22"/>
          <w:szCs w:val="22"/>
        </w:rPr>
        <w:t>Referente per la trasparenza</w:t>
      </w:r>
      <w:r>
        <w:rPr>
          <w:rFonts w:cs="Arial" w:ascii="Arial" w:hAnsi="Arial"/>
          <w:sz w:val="22"/>
          <w:szCs w:val="22"/>
        </w:rPr>
        <w:t>”, il quale verifica  insieme al Segretario la correttezza degli adempimenti inerenti l'applicazione del D.lgs. 33/2013.</w:t>
      </w:r>
    </w:p>
    <w:p>
      <w:pPr>
        <w:pStyle w:val="Normal"/>
        <w:jc w:val="both"/>
        <w:rPr>
          <w:rFonts w:ascii="Arial" w:hAnsi="Arial" w:cs="Arial"/>
          <w:sz w:val="22"/>
          <w:szCs w:val="22"/>
        </w:rPr>
      </w:pPr>
      <w:r>
        <w:rPr>
          <w:rFonts w:cs="Arial" w:ascii="Arial" w:hAnsi="Arial"/>
          <w:sz w:val="22"/>
          <w:szCs w:val="22"/>
        </w:rPr>
        <w:t xml:space="preserve">Nelle attività di riordino e razionalizzazione dei contenuti gioca un </w:t>
      </w:r>
      <w:r>
        <w:rPr>
          <w:rFonts w:cs="Arial" w:ascii="Arial" w:hAnsi="Arial"/>
          <w:b/>
          <w:bCs/>
          <w:sz w:val="22"/>
          <w:szCs w:val="22"/>
        </w:rPr>
        <w:t>ruolo centrale il Servizio Sistemi Informativi</w:t>
      </w:r>
      <w:r>
        <w:rPr>
          <w:rFonts w:cs="Arial" w:ascii="Arial" w:hAnsi="Arial"/>
          <w:sz w:val="22"/>
          <w:szCs w:val="22"/>
        </w:rPr>
        <w:t xml:space="preserve"> che assiste il responsabile della Trasparenza ed i Responsabili di Settore nella individuazione delle soluzioni tecnologiche ed alla loro attuazione, secondo l‘architettura generale allegata al presente programma.</w:t>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b/>
          <w:sz w:val="22"/>
          <w:szCs w:val="22"/>
        </w:rPr>
        <w:t>La Sezione “Amministrazione trasparente”</w:t>
      </w:r>
    </w:p>
    <w:p>
      <w:pPr>
        <w:pStyle w:val="Normal"/>
        <w:jc w:val="both"/>
        <w:rPr>
          <w:rFonts w:ascii="Arial" w:hAnsi="Arial" w:cs="Arial"/>
          <w:sz w:val="22"/>
          <w:szCs w:val="22"/>
        </w:rPr>
      </w:pPr>
      <w:r>
        <w:rPr>
          <w:rFonts w:cs="Arial" w:ascii="Arial" w:hAnsi="Arial"/>
          <w:sz w:val="22"/>
          <w:szCs w:val="22"/>
        </w:rPr>
        <w:t xml:space="preserve">Al fine di dare attuazione alla disciplina della trasparenza, è stata inserita nella home page del sito istituzionale dell’Ente </w:t>
      </w:r>
      <w:hyperlink r:id="rId16">
        <w:r>
          <w:rPr>
            <w:rStyle w:val="Hyperlink"/>
            <w:rFonts w:cs="Arial" w:ascii="Arial" w:hAnsi="Arial"/>
            <w:sz w:val="22"/>
            <w:szCs w:val="22"/>
          </w:rPr>
          <w:t>www.comune.marano.mo.it</w:t>
        </w:r>
      </w:hyperlink>
      <w:r>
        <w:rPr>
          <w:rFonts w:cs="Arial" w:ascii="Arial" w:hAnsi="Arial"/>
          <w:b/>
          <w:bCs/>
          <w:sz w:val="22"/>
          <w:szCs w:val="22"/>
        </w:rPr>
        <w:t>,</w:t>
      </w:r>
      <w:r>
        <w:rPr>
          <w:rFonts w:cs="Arial" w:ascii="Arial" w:hAnsi="Arial"/>
          <w:sz w:val="22"/>
          <w:szCs w:val="22"/>
        </w:rPr>
        <w:t xml:space="preserve"> un’apposita sezione denominata “Amministrazione trasparente” in sostituzione  della precedente sezione denominata “Trasparenza, valutazione e merito”.</w:t>
      </w:r>
    </w:p>
    <w:p>
      <w:pPr>
        <w:pStyle w:val="Normal"/>
        <w:jc w:val="both"/>
        <w:rPr>
          <w:rFonts w:ascii="Arial" w:hAnsi="Arial" w:cs="Arial"/>
          <w:sz w:val="22"/>
          <w:szCs w:val="22"/>
        </w:rPr>
      </w:pPr>
      <w:r>
        <w:rPr>
          <w:rFonts w:cs="Arial" w:ascii="Arial" w:hAnsi="Arial"/>
          <w:sz w:val="22"/>
          <w:szCs w:val="22"/>
        </w:rPr>
        <w:t xml:space="preserve">Al suo interno, organizzati in </w:t>
      </w:r>
      <w:r>
        <w:rPr>
          <w:rFonts w:cs="Arial" w:ascii="Arial" w:hAnsi="Arial"/>
          <w:b/>
          <w:bCs/>
          <w:sz w:val="22"/>
          <w:szCs w:val="22"/>
        </w:rPr>
        <w:t>sotto-sezioni di primo e secondo livello</w:t>
      </w:r>
      <w:r>
        <w:rPr>
          <w:rFonts w:cs="Arial" w:ascii="Arial" w:hAnsi="Arial"/>
          <w:sz w:val="22"/>
          <w:szCs w:val="22"/>
        </w:rPr>
        <w:t>, sono contenuti i dati, le informazioni e i documenti oggetto di pubblicazione obbligatoria, secondo quanto stabilito dall’allegato al D.lgs. 33/2013, ed in particolare dalla delibera Civit n. 71/2013, come modificato con D.lgs.97/2016.</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Tutti i dati oggetto di pubblicazione obbligatoria nelle due sottosezioni sono decritti nella apposita </w:t>
      </w:r>
      <w:r>
        <w:rPr>
          <w:rFonts w:cs="Arial" w:ascii="Arial" w:hAnsi="Arial"/>
          <w:b/>
          <w:bCs/>
          <w:sz w:val="22"/>
          <w:szCs w:val="22"/>
        </w:rPr>
        <w:t>tabella allegata</w:t>
      </w:r>
      <w:r>
        <w:rPr>
          <w:rFonts w:cs="Arial" w:ascii="Arial" w:hAnsi="Arial"/>
          <w:sz w:val="22"/>
          <w:szCs w:val="22"/>
        </w:rPr>
        <w:t xml:space="preserve"> al presente Piano (</w:t>
      </w:r>
      <w:r>
        <w:rPr>
          <w:rFonts w:cs="Arial" w:ascii="Arial" w:hAnsi="Arial"/>
          <w:bCs/>
          <w:sz w:val="22"/>
          <w:szCs w:val="22"/>
        </w:rPr>
        <w:t>Allegato 2),</w:t>
      </w:r>
      <w:r>
        <w:rPr>
          <w:rFonts w:cs="Arial" w:ascii="Arial" w:hAnsi="Arial"/>
          <w:sz w:val="22"/>
          <w:szCs w:val="22"/>
        </w:rPr>
        <w:t xml:space="preserve"> che indica per ogni sottosezione che compone la sezione Amministrazione Trasparente:</w:t>
      </w:r>
    </w:p>
    <w:p>
      <w:pPr>
        <w:pStyle w:val="Normal"/>
        <w:numPr>
          <w:ilvl w:val="1"/>
          <w:numId w:val="25"/>
        </w:numPr>
        <w:tabs>
          <w:tab w:val="clear" w:pos="720"/>
          <w:tab w:val="left" w:pos="1440" w:leader="none"/>
        </w:tabs>
        <w:ind w:hanging="360" w:left="1440"/>
        <w:rPr>
          <w:rFonts w:ascii="Arial" w:hAnsi="Arial" w:cs="Arial"/>
          <w:sz w:val="22"/>
          <w:szCs w:val="22"/>
        </w:rPr>
      </w:pPr>
      <w:r>
        <w:rPr>
          <w:rFonts w:cs="Arial" w:ascii="Arial" w:hAnsi="Arial"/>
          <w:sz w:val="22"/>
          <w:szCs w:val="22"/>
        </w:rPr>
        <w:t>le disposizioni di legge di riferimento</w:t>
      </w:r>
    </w:p>
    <w:p>
      <w:pPr>
        <w:pStyle w:val="Normal"/>
        <w:numPr>
          <w:ilvl w:val="1"/>
          <w:numId w:val="25"/>
        </w:numPr>
        <w:tabs>
          <w:tab w:val="clear" w:pos="720"/>
          <w:tab w:val="left" w:pos="1440" w:leader="none"/>
        </w:tabs>
        <w:ind w:hanging="360" w:left="1440"/>
        <w:rPr>
          <w:rFonts w:ascii="Arial" w:hAnsi="Arial" w:cs="Arial"/>
          <w:sz w:val="22"/>
          <w:szCs w:val="22"/>
        </w:rPr>
      </w:pPr>
      <w:r>
        <w:rPr>
          <w:rFonts w:cs="Arial" w:ascii="Arial" w:hAnsi="Arial"/>
          <w:sz w:val="22"/>
          <w:szCs w:val="22"/>
        </w:rPr>
        <w:t>i contenuti previsti</w:t>
      </w:r>
    </w:p>
    <w:p>
      <w:pPr>
        <w:pStyle w:val="Normal"/>
        <w:numPr>
          <w:ilvl w:val="1"/>
          <w:numId w:val="25"/>
        </w:numPr>
        <w:tabs>
          <w:tab w:val="clear" w:pos="720"/>
          <w:tab w:val="left" w:pos="1440" w:leader="none"/>
        </w:tabs>
        <w:ind w:hanging="360" w:left="1440"/>
        <w:jc w:val="both"/>
        <w:rPr>
          <w:rFonts w:ascii="Arial" w:hAnsi="Arial" w:cs="Arial"/>
          <w:sz w:val="22"/>
          <w:szCs w:val="22"/>
        </w:rPr>
      </w:pPr>
      <w:r>
        <w:rPr>
          <w:rFonts w:cs="Arial" w:ascii="Arial" w:hAnsi="Arial"/>
          <w:sz w:val="22"/>
          <w:szCs w:val="22"/>
        </w:rPr>
        <w:t>il Responsabile di Settore che detiene i dati ed è responsabile della corretta e completa pubblicazione degli stessi</w:t>
      </w:r>
    </w:p>
    <w:p>
      <w:pPr>
        <w:pStyle w:val="Normal"/>
        <w:numPr>
          <w:ilvl w:val="1"/>
          <w:numId w:val="25"/>
        </w:numPr>
        <w:tabs>
          <w:tab w:val="clear" w:pos="720"/>
          <w:tab w:val="left" w:pos="1440" w:leader="none"/>
        </w:tabs>
        <w:ind w:hanging="360" w:left="1440"/>
        <w:rPr>
          <w:rFonts w:ascii="Arial" w:hAnsi="Arial" w:cs="Arial"/>
          <w:sz w:val="22"/>
          <w:szCs w:val="22"/>
        </w:rPr>
      </w:pPr>
      <w:r>
        <w:rPr>
          <w:rFonts w:cs="Arial" w:ascii="Arial" w:hAnsi="Arial"/>
          <w:sz w:val="22"/>
          <w:szCs w:val="22"/>
        </w:rPr>
        <w:t>i tempi di pubblicazione.</w:t>
      </w:r>
    </w:p>
    <w:p>
      <w:pPr>
        <w:pStyle w:val="HTMLPreformatted"/>
        <w:rPr>
          <w:rFonts w:ascii="Arial" w:hAnsi="Arial" w:eastAsia="Times New Roman" w:cs="Arial"/>
          <w:sz w:val="22"/>
          <w:szCs w:val="22"/>
        </w:rPr>
      </w:pPr>
      <w:r>
        <w:rPr>
          <w:rFonts w:eastAsia="Times New Roman" w:cs="Arial" w:ascii="Arial" w:hAnsi="Arial"/>
          <w:sz w:val="22"/>
          <w:szCs w:val="22"/>
        </w:rPr>
      </w:r>
    </w:p>
    <w:p>
      <w:pPr>
        <w:pStyle w:val="Normal"/>
        <w:tabs>
          <w:tab w:val="clear" w:pos="720"/>
          <w:tab w:val="left" w:pos="708" w:leader="none"/>
        </w:tabs>
        <w:jc w:val="both"/>
        <w:rPr>
          <w:rFonts w:ascii="Arial" w:hAnsi="Arial" w:cs="Arial"/>
          <w:sz w:val="22"/>
          <w:szCs w:val="22"/>
        </w:rPr>
      </w:pPr>
      <w:r>
        <w:rPr>
          <w:rFonts w:cs="Arial" w:ascii="Arial" w:hAnsi="Arial"/>
          <w:bCs/>
          <w:sz w:val="22"/>
          <w:szCs w:val="22"/>
        </w:rPr>
        <w:t>Tale tabella riepilogativa ha costituito e costituirà programma di lavoro per i Settori dell’ente</w:t>
      </w:r>
      <w:r>
        <w:rPr>
          <w:rFonts w:cs="Arial" w:ascii="Arial" w:hAnsi="Arial"/>
          <w:sz w:val="22"/>
          <w:szCs w:val="22"/>
        </w:rPr>
        <w:t xml:space="preserve">, tutti coinvolti nelle attività di pubblicazione al fine di raggiungere gli obiettivi di trasparenza sul portale nonché </w:t>
      </w:r>
      <w:r>
        <w:rPr>
          <w:rFonts w:cs="Arial" w:ascii="Arial" w:hAnsi="Arial"/>
          <w:sz w:val="22"/>
          <w:szCs w:val="22"/>
          <w:u w:val="single"/>
        </w:rPr>
        <w:t>schema di riferimento in base al quale rendicontare annualmente</w:t>
      </w:r>
      <w:r>
        <w:rPr>
          <w:rFonts w:cs="Arial" w:ascii="Arial" w:hAnsi="Arial"/>
          <w:sz w:val="22"/>
          <w:szCs w:val="22"/>
        </w:rPr>
        <w:t xml:space="preserve"> l’attività svolta ed il rispetto dei tempi previsti anche ai fini dell’aggiornamento del presente Piano.</w:t>
      </w:r>
    </w:p>
    <w:p>
      <w:pPr>
        <w:pStyle w:val="Normal"/>
        <w:tabs>
          <w:tab w:val="clear" w:pos="720"/>
          <w:tab w:val="left" w:pos="708" w:leader="none"/>
        </w:tabs>
        <w:jc w:val="both"/>
        <w:rPr>
          <w:rFonts w:ascii="Arial" w:hAnsi="Arial" w:cs="Arial"/>
          <w:sz w:val="22"/>
          <w:szCs w:val="22"/>
        </w:rPr>
      </w:pPr>
      <w:r>
        <w:rPr>
          <w:rFonts w:cs="Arial" w:ascii="Arial" w:hAnsi="Arial"/>
          <w:sz w:val="22"/>
          <w:szCs w:val="22"/>
        </w:rPr>
      </w:r>
    </w:p>
    <w:p>
      <w:pPr>
        <w:pStyle w:val="Normal"/>
        <w:tabs>
          <w:tab w:val="clear" w:pos="720"/>
          <w:tab w:val="left" w:pos="708" w:leader="none"/>
        </w:tabs>
        <w:jc w:val="both"/>
        <w:rPr>
          <w:rFonts w:ascii="Arial" w:hAnsi="Arial" w:cs="Arial"/>
          <w:sz w:val="22"/>
          <w:szCs w:val="22"/>
        </w:rPr>
      </w:pPr>
      <w:r>
        <w:rPr>
          <w:rFonts w:cs="Arial" w:ascii="Arial" w:hAnsi="Arial"/>
          <w:b/>
          <w:sz w:val="22"/>
          <w:szCs w:val="22"/>
        </w:rPr>
        <w:t>Le caratteristiche delle informazioni</w:t>
      </w:r>
    </w:p>
    <w:p>
      <w:pPr>
        <w:pStyle w:val="Normal"/>
        <w:tabs>
          <w:tab w:val="clear" w:pos="720"/>
          <w:tab w:val="left" w:pos="708" w:leader="none"/>
        </w:tabs>
        <w:jc w:val="both"/>
        <w:rPr>
          <w:rFonts w:ascii="Arial" w:hAnsi="Arial" w:cs="Arial"/>
          <w:sz w:val="22"/>
          <w:szCs w:val="22"/>
        </w:rPr>
      </w:pPr>
      <w:r>
        <w:rPr>
          <w:rFonts w:cs="Arial" w:ascii="Arial" w:hAnsi="Arial"/>
          <w:sz w:val="22"/>
          <w:szCs w:val="22"/>
        </w:rPr>
        <w:t>L’Ente è tenuto ad assicurare la qualità delle informazioni riportate nel sito istituzionale nel rispetto degli obblighi di pubblicazione previsti dalla legge, assicurandone l’integrità, il costante aggiornamento, la completezza, la tempestività, la semplicità di consultazione, la comprensibilità, l’omogeneità, la facile accessibilità, nonché la conformità ai documenti originali in possesso dell’amministrazione, l’indicazione della loro provenienza e la riutilizzabilità.</w:t>
      </w:r>
    </w:p>
    <w:p>
      <w:pPr>
        <w:pStyle w:val="Normal"/>
        <w:tabs>
          <w:tab w:val="clear" w:pos="720"/>
          <w:tab w:val="left" w:pos="708" w:leader="none"/>
        </w:tabs>
        <w:jc w:val="both"/>
        <w:rPr>
          <w:rFonts w:ascii="Arial" w:hAnsi="Arial" w:cs="Arial"/>
          <w:sz w:val="22"/>
          <w:szCs w:val="22"/>
        </w:rPr>
      </w:pPr>
      <w:r>
        <w:rPr>
          <w:rFonts w:cs="Arial" w:ascii="Arial" w:hAnsi="Arial"/>
          <w:sz w:val="22"/>
          <w:szCs w:val="22"/>
        </w:rPr>
        <w:t>Gli atti oggetto di pubblicazione obbligatoria sono e saranno pubblicati:</w:t>
      </w:r>
    </w:p>
    <w:p>
      <w:pPr>
        <w:pStyle w:val="Normal"/>
        <w:tabs>
          <w:tab w:val="clear" w:pos="720"/>
          <w:tab w:val="left" w:pos="708" w:leader="none"/>
        </w:tabs>
        <w:jc w:val="both"/>
        <w:rPr>
          <w:rFonts w:ascii="Arial" w:hAnsi="Arial" w:cs="Arial"/>
          <w:sz w:val="22"/>
          <w:szCs w:val="22"/>
        </w:rPr>
      </w:pPr>
      <w:r>
        <w:rPr>
          <w:rFonts w:cs="Arial" w:ascii="Arial" w:hAnsi="Arial"/>
          <w:sz w:val="22"/>
          <w:szCs w:val="22"/>
        </w:rPr>
        <w:t>•</w:t>
      </w:r>
      <w:r>
        <w:rPr>
          <w:rFonts w:cs="Arial" w:ascii="Arial" w:hAnsi="Arial"/>
          <w:sz w:val="22"/>
          <w:szCs w:val="22"/>
        </w:rPr>
        <w:t>in forma chiara e semplice, tali da essere facilmente comprensibili al soggetto che ne prende visione;</w:t>
      </w:r>
    </w:p>
    <w:p>
      <w:pPr>
        <w:pStyle w:val="Normal"/>
        <w:tabs>
          <w:tab w:val="clear" w:pos="720"/>
          <w:tab w:val="left" w:pos="708" w:leader="none"/>
        </w:tabs>
        <w:jc w:val="both"/>
        <w:rPr>
          <w:rFonts w:ascii="Arial" w:hAnsi="Arial" w:cs="Arial"/>
          <w:sz w:val="22"/>
          <w:szCs w:val="22"/>
        </w:rPr>
      </w:pPr>
      <w:r>
        <w:rPr>
          <w:rFonts w:cs="Arial" w:ascii="Arial" w:hAnsi="Arial"/>
          <w:sz w:val="22"/>
          <w:szCs w:val="22"/>
        </w:rPr>
        <w:t>•</w:t>
      </w:r>
      <w:r>
        <w:rPr>
          <w:rFonts w:cs="Arial" w:ascii="Arial" w:hAnsi="Arial"/>
          <w:sz w:val="22"/>
          <w:szCs w:val="22"/>
        </w:rPr>
        <w:t>completi nel loro contenuto, e degli allegati costituenti parte integrante e sostanziale dell’atto;</w:t>
      </w:r>
    </w:p>
    <w:p>
      <w:pPr>
        <w:pStyle w:val="Normal"/>
        <w:tabs>
          <w:tab w:val="clear" w:pos="720"/>
          <w:tab w:val="left" w:pos="708" w:leader="none"/>
        </w:tabs>
        <w:jc w:val="both"/>
        <w:rPr>
          <w:rFonts w:ascii="Arial" w:hAnsi="Arial" w:cs="Arial"/>
          <w:sz w:val="22"/>
          <w:szCs w:val="22"/>
        </w:rPr>
      </w:pPr>
      <w:r>
        <w:rPr>
          <w:rFonts w:cs="Arial" w:ascii="Arial" w:hAnsi="Arial"/>
          <w:sz w:val="22"/>
          <w:szCs w:val="22"/>
        </w:rPr>
        <w:t>•</w:t>
      </w:r>
      <w:r>
        <w:rPr>
          <w:rFonts w:cs="Arial" w:ascii="Arial" w:hAnsi="Arial"/>
          <w:sz w:val="22"/>
          <w:szCs w:val="22"/>
        </w:rPr>
        <w:t>con l’indicazione della loro provenienza, e previa attestazione di conformità all’originale in possesso dell’amministrazione;</w:t>
      </w:r>
    </w:p>
    <w:p>
      <w:pPr>
        <w:pStyle w:val="Normal"/>
        <w:tabs>
          <w:tab w:val="clear" w:pos="720"/>
          <w:tab w:val="left" w:pos="708" w:leader="none"/>
        </w:tabs>
        <w:jc w:val="both"/>
        <w:rPr>
          <w:rFonts w:ascii="Arial" w:hAnsi="Arial" w:cs="Arial"/>
          <w:sz w:val="22"/>
          <w:szCs w:val="22"/>
        </w:rPr>
      </w:pPr>
      <w:r>
        <w:rPr>
          <w:rFonts w:cs="Arial" w:ascii="Arial" w:hAnsi="Arial"/>
          <w:sz w:val="22"/>
          <w:szCs w:val="22"/>
        </w:rPr>
        <w:t>•</w:t>
      </w:r>
      <w:r>
        <w:rPr>
          <w:rFonts w:cs="Arial" w:ascii="Arial" w:hAnsi="Arial"/>
          <w:sz w:val="22"/>
          <w:szCs w:val="22"/>
        </w:rPr>
        <w:t>tempestivamente e comunque non oltre quindici giorni dalla loro efficacia;</w:t>
      </w:r>
    </w:p>
    <w:p>
      <w:pPr>
        <w:pStyle w:val="Normal"/>
        <w:tabs>
          <w:tab w:val="clear" w:pos="720"/>
          <w:tab w:val="left" w:pos="708" w:leader="none"/>
        </w:tabs>
        <w:jc w:val="both"/>
        <w:rPr>
          <w:rFonts w:ascii="Arial" w:hAnsi="Arial" w:cs="Arial"/>
          <w:sz w:val="22"/>
          <w:szCs w:val="22"/>
        </w:rPr>
      </w:pPr>
      <w:r>
        <w:rPr>
          <w:rFonts w:cs="Arial" w:ascii="Arial" w:hAnsi="Arial"/>
          <w:sz w:val="22"/>
          <w:szCs w:val="22"/>
        </w:rPr>
        <w:t>•</w:t>
      </w:r>
      <w:r>
        <w:rPr>
          <w:rFonts w:cs="Arial" w:ascii="Arial" w:hAnsi="Arial"/>
          <w:sz w:val="22"/>
          <w:szCs w:val="22"/>
        </w:rPr>
        <w:t>per un periodo di cinque anni, decorrenti dal 1° gennaio dell’anno successivo a quello da cui decorre l’obbligo di pubblicazione; gli atti che producono i loro effetti oltre i cinque anni, andranno comunque pubblicati fino alla data di efficacia. Allo scadere del termine sono comunque conservati e resi disponibili all’interno di apposite sezioni di archivio.</w:t>
      </w:r>
    </w:p>
    <w:p>
      <w:pPr>
        <w:pStyle w:val="Normal"/>
        <w:tabs>
          <w:tab w:val="clear" w:pos="720"/>
          <w:tab w:val="left" w:pos="708" w:leader="none"/>
        </w:tabs>
        <w:jc w:val="both"/>
        <w:rPr>
          <w:rFonts w:ascii="Arial" w:hAnsi="Arial" w:cs="Arial"/>
          <w:sz w:val="22"/>
          <w:szCs w:val="22"/>
        </w:rPr>
      </w:pPr>
      <w:r>
        <w:rPr>
          <w:rFonts w:cs="Arial" w:ascii="Arial" w:hAnsi="Arial"/>
          <w:sz w:val="22"/>
          <w:szCs w:val="22"/>
        </w:rPr>
        <w:t>•</w:t>
      </w:r>
      <w:r>
        <w:rPr>
          <w:rFonts w:cs="Arial" w:ascii="Arial" w:hAnsi="Arial"/>
          <w:sz w:val="22"/>
          <w:szCs w:val="22"/>
        </w:rPr>
        <w:t>in formato di tipo aperto, ai sensi dell’articolo 68 del Codice dell’amministrazione digitale, di cui al d.lgs. 82/2005 e saranno riutilizzabili ai sensi del d.lgs. 196/2003, senza ulteriori restrizioni diverse dall’obbligo di citare la fonte e di rispettarne l’integrità.</w:t>
      </w:r>
    </w:p>
    <w:p>
      <w:pPr>
        <w:pStyle w:val="Normal"/>
        <w:tabs>
          <w:tab w:val="clear" w:pos="720"/>
          <w:tab w:val="left" w:pos="708" w:leader="none"/>
        </w:tabs>
        <w:jc w:val="both"/>
        <w:rPr>
          <w:rFonts w:ascii="Arial" w:hAnsi="Arial" w:cs="Arial"/>
          <w:sz w:val="22"/>
          <w:szCs w:val="22"/>
        </w:rPr>
      </w:pPr>
      <w:r>
        <w:rPr>
          <w:rFonts w:cs="Arial" w:ascii="Arial" w:hAnsi="Arial"/>
          <w:sz w:val="22"/>
          <w:szCs w:val="22"/>
        </w:rPr>
      </w:r>
    </w:p>
    <w:p>
      <w:pPr>
        <w:pStyle w:val="Normal"/>
        <w:tabs>
          <w:tab w:val="clear" w:pos="720"/>
          <w:tab w:val="left" w:pos="708" w:leader="none"/>
        </w:tabs>
        <w:jc w:val="both"/>
        <w:rPr>
          <w:rFonts w:ascii="Arial" w:hAnsi="Arial" w:cs="Arial"/>
          <w:sz w:val="22"/>
          <w:szCs w:val="22"/>
        </w:rPr>
      </w:pPr>
      <w:r>
        <w:rPr>
          <w:rFonts w:cs="Arial" w:ascii="Arial" w:hAnsi="Arial"/>
          <w:b/>
          <w:sz w:val="22"/>
          <w:szCs w:val="22"/>
        </w:rPr>
        <w:t>Misure organizzative</w:t>
      </w:r>
    </w:p>
    <w:p>
      <w:pPr>
        <w:pStyle w:val="Normal"/>
        <w:jc w:val="both"/>
        <w:rPr>
          <w:rFonts w:ascii="Arial" w:hAnsi="Arial" w:cs="Arial"/>
          <w:sz w:val="22"/>
          <w:szCs w:val="22"/>
        </w:rPr>
      </w:pPr>
      <w:r>
        <w:rPr>
          <w:rFonts w:cs="Arial" w:ascii="Arial" w:hAnsi="Arial"/>
          <w:sz w:val="22"/>
          <w:szCs w:val="22"/>
        </w:rPr>
        <w:t xml:space="preserve">L’inserimento dei documenti e dei dati nell’apposita sezione del sito istituzionale dell’Ente, data anche la complessità della struttura organizzativa del Comune, avviene con </w:t>
      </w:r>
      <w:r>
        <w:rPr>
          <w:rFonts w:cs="Arial" w:ascii="Arial" w:hAnsi="Arial"/>
          <w:b/>
          <w:bCs/>
          <w:sz w:val="22"/>
          <w:szCs w:val="22"/>
        </w:rPr>
        <w:t>modalità decentrata</w:t>
      </w:r>
      <w:r>
        <w:rPr>
          <w:rFonts w:cs="Arial" w:ascii="Arial" w:hAnsi="Arial"/>
          <w:sz w:val="22"/>
          <w:szCs w:val="22"/>
        </w:rPr>
        <w:t xml:space="preserve"> già da tempo in uso nell’Ente.</w:t>
      </w:r>
    </w:p>
    <w:p>
      <w:pPr>
        <w:pStyle w:val="Normal"/>
        <w:jc w:val="both"/>
        <w:rPr>
          <w:rFonts w:ascii="Arial" w:hAnsi="Arial" w:cs="Arial"/>
          <w:sz w:val="22"/>
          <w:szCs w:val="22"/>
        </w:rPr>
      </w:pPr>
      <w:r>
        <w:rPr>
          <w:rFonts w:cs="Arial" w:ascii="Arial" w:hAnsi="Arial"/>
          <w:b/>
          <w:bCs/>
          <w:sz w:val="22"/>
          <w:szCs w:val="22"/>
        </w:rPr>
        <w:t>Ai Responsabili dei Settori dell’ente sono attribuite apposite credenziali</w:t>
      </w:r>
      <w:r>
        <w:rPr>
          <w:rFonts w:cs="Arial" w:ascii="Arial" w:hAnsi="Arial"/>
          <w:sz w:val="22"/>
          <w:szCs w:val="22"/>
        </w:rPr>
        <w:t xml:space="preserve"> per l’accesso e l’utilizzo degli strumenti di pubblicazione e successivo aggiornamento/monitoraggio; i medesimi Responsabili, potranno individuare all’interno dei servizi in loro responsabilità, i dipendenti cui sarà assegnato il compito di dare attuazione, per le sezioni di competenza, agli obblighi di pubblicazione previsti dal Piano (dal punto di vista operativo l’inserimento e l’aggiornamento dei dati pubblicati avviene principalmente tramite iter manuali).</w:t>
      </w:r>
    </w:p>
    <w:p>
      <w:pPr>
        <w:pStyle w:val="Pidipagina1"/>
        <w:tabs>
          <w:tab w:val="left" w:pos="708" w:leader="none"/>
          <w:tab w:val="center" w:pos="4819" w:leader="none"/>
          <w:tab w:val="right" w:pos="9638" w:leader="none"/>
        </w:tabs>
        <w:jc w:val="both"/>
        <w:rPr>
          <w:rFonts w:ascii="Arial" w:hAnsi="Arial" w:cs="Arial"/>
          <w:b/>
          <w:bCs/>
          <w:sz w:val="22"/>
          <w:szCs w:val="22"/>
        </w:rPr>
      </w:pPr>
      <w:r>
        <w:rPr>
          <w:rFonts w:cs="Arial" w:ascii="Arial" w:hAnsi="Arial"/>
          <w:b/>
          <w:bCs/>
          <w:sz w:val="22"/>
          <w:szCs w:val="22"/>
        </w:rPr>
      </w:r>
    </w:p>
    <w:p>
      <w:pPr>
        <w:pStyle w:val="Pidipagina1"/>
        <w:tabs>
          <w:tab w:val="left" w:pos="708" w:leader="none"/>
          <w:tab w:val="center" w:pos="4819" w:leader="none"/>
          <w:tab w:val="right" w:pos="9638" w:leader="none"/>
        </w:tabs>
        <w:jc w:val="both"/>
        <w:rPr>
          <w:rFonts w:ascii="Arial" w:hAnsi="Arial" w:cs="Arial"/>
          <w:sz w:val="22"/>
          <w:szCs w:val="22"/>
        </w:rPr>
      </w:pPr>
      <w:r>
        <w:rPr>
          <w:rFonts w:cs="Arial" w:ascii="Arial" w:hAnsi="Arial"/>
          <w:b/>
          <w:bCs/>
          <w:sz w:val="22"/>
          <w:szCs w:val="22"/>
        </w:rPr>
        <w:t>Responsabile della trasmissione dell’atto</w:t>
      </w:r>
      <w:r>
        <w:rPr>
          <w:rFonts w:cs="Arial" w:ascii="Arial" w:hAnsi="Arial"/>
          <w:sz w:val="22"/>
          <w:szCs w:val="22"/>
        </w:rPr>
        <w:t xml:space="preserve"> oggetto di pubblicazione è ciascun dipendente tenuto alla produzione dell’atto medesimo che, qualora non sia incaricato di provvedere direttamente alla pubblicazione, avrà l’onere di trasmetterlo tempestivamente al referente per la trasparenza. </w:t>
      </w:r>
    </w:p>
    <w:p>
      <w:pPr>
        <w:pStyle w:val="Normal"/>
        <w:jc w:val="both"/>
        <w:rPr>
          <w:rFonts w:ascii="Arial" w:hAnsi="Arial" w:cs="Arial"/>
          <w:b/>
          <w:bCs/>
          <w:color w:val="333399"/>
          <w:sz w:val="22"/>
          <w:szCs w:val="22"/>
        </w:rPr>
      </w:pPr>
      <w:r>
        <w:rPr>
          <w:rFonts w:cs="Arial" w:ascii="Arial" w:hAnsi="Arial"/>
          <w:b/>
          <w:bCs/>
          <w:color w:val="333399"/>
          <w:sz w:val="22"/>
          <w:szCs w:val="22"/>
        </w:rPr>
      </w:r>
    </w:p>
    <w:p>
      <w:pPr>
        <w:pStyle w:val="Normal"/>
        <w:jc w:val="both"/>
        <w:rPr>
          <w:rFonts w:ascii="Arial" w:hAnsi="Arial" w:cs="Arial"/>
          <w:sz w:val="22"/>
          <w:szCs w:val="22"/>
        </w:rPr>
      </w:pPr>
      <w:r>
        <w:rPr>
          <w:rFonts w:cs="Arial" w:ascii="Arial" w:hAnsi="Arial"/>
          <w:b/>
          <w:sz w:val="22"/>
          <w:szCs w:val="22"/>
        </w:rPr>
        <w:t>Monitoraggio e controllo delle misure di trasparenza</w:t>
      </w:r>
    </w:p>
    <w:p>
      <w:pPr>
        <w:pStyle w:val="Normal"/>
        <w:jc w:val="both"/>
        <w:rPr>
          <w:rFonts w:ascii="Arial" w:hAnsi="Arial" w:cs="Arial"/>
          <w:sz w:val="22"/>
          <w:szCs w:val="22"/>
        </w:rPr>
      </w:pPr>
      <w:r>
        <w:rPr>
          <w:rFonts w:cs="Arial" w:ascii="Arial" w:hAnsi="Arial"/>
          <w:sz w:val="22"/>
          <w:szCs w:val="22"/>
        </w:rPr>
        <w:t>Il Segretario/Responsabile per la trasparenza coadiuvato dal “Referente per la trasparenza” vigilerà sulla regolare produzione, trasmissione e pubblicazione dei dati, predisponendo apposite segnalazioni in caso di mancato o ritardato adempimento.</w:t>
      </w:r>
    </w:p>
    <w:p>
      <w:pPr>
        <w:pStyle w:val="Normal"/>
        <w:jc w:val="both"/>
        <w:rPr>
          <w:rFonts w:ascii="Arial" w:hAnsi="Arial" w:cs="Arial"/>
          <w:sz w:val="22"/>
          <w:szCs w:val="22"/>
        </w:rPr>
      </w:pPr>
      <w:r>
        <w:rPr>
          <w:rFonts w:cs="Arial" w:ascii="Arial" w:hAnsi="Arial"/>
          <w:sz w:val="22"/>
          <w:szCs w:val="22"/>
        </w:rPr>
        <w:t>Tale monitoraggio e controllo verrà attuato:</w:t>
      </w:r>
    </w:p>
    <w:p>
      <w:pPr>
        <w:pStyle w:val="Normal"/>
        <w:numPr>
          <w:ilvl w:val="0"/>
          <w:numId w:val="24"/>
        </w:numPr>
        <w:tabs>
          <w:tab w:val="left" w:pos="720" w:leader="none"/>
        </w:tabs>
        <w:ind w:hanging="360" w:left="720"/>
        <w:jc w:val="both"/>
        <w:rPr>
          <w:rFonts w:ascii="Arial" w:hAnsi="Arial" w:cs="Arial"/>
          <w:sz w:val="22"/>
          <w:szCs w:val="22"/>
        </w:rPr>
      </w:pPr>
      <w:r>
        <w:rPr>
          <w:rFonts w:cs="Arial" w:ascii="Arial" w:hAnsi="Arial"/>
          <w:sz w:val="22"/>
          <w:szCs w:val="22"/>
        </w:rPr>
        <w:t>nell’ambito dell’attività di monitoraggio del presente Piano;</w:t>
      </w:r>
    </w:p>
    <w:p>
      <w:pPr>
        <w:pStyle w:val="Normal"/>
        <w:numPr>
          <w:ilvl w:val="0"/>
          <w:numId w:val="24"/>
        </w:numPr>
        <w:tabs>
          <w:tab w:val="left" w:pos="720" w:leader="none"/>
        </w:tabs>
        <w:ind w:hanging="360" w:left="720"/>
        <w:jc w:val="both"/>
        <w:rPr>
          <w:rFonts w:ascii="Arial" w:hAnsi="Arial" w:cs="Arial"/>
          <w:sz w:val="22"/>
          <w:szCs w:val="22"/>
        </w:rPr>
      </w:pPr>
      <w:r>
        <w:rPr>
          <w:rFonts w:cs="Arial" w:ascii="Arial" w:hAnsi="Arial"/>
          <w:sz w:val="22"/>
          <w:szCs w:val="22"/>
        </w:rPr>
        <w:t>attraverso appositi controlli periodici, anche a campione, a verifica dell'aggiornamento delle informazioni pubblicate;</w:t>
      </w:r>
    </w:p>
    <w:p>
      <w:pPr>
        <w:pStyle w:val="Normal"/>
        <w:numPr>
          <w:ilvl w:val="0"/>
          <w:numId w:val="24"/>
        </w:numPr>
        <w:tabs>
          <w:tab w:val="left" w:pos="720" w:leader="none"/>
        </w:tabs>
        <w:ind w:hanging="360" w:left="720"/>
        <w:jc w:val="both"/>
        <w:rPr>
          <w:rFonts w:ascii="Arial" w:hAnsi="Arial" w:cs="Arial"/>
          <w:sz w:val="22"/>
          <w:szCs w:val="22"/>
        </w:rPr>
      </w:pPr>
      <w:r>
        <w:rPr>
          <w:rFonts w:cs="Arial" w:ascii="Arial" w:hAnsi="Arial"/>
          <w:sz w:val="22"/>
          <w:szCs w:val="22"/>
        </w:rPr>
        <w:t>attraverso il monitoraggio effettuato in merito al diritto di accesso civico (art. 5 d.lgs. 33/2013) sulla base delle segnalazioni pervenute.</w:t>
      </w:r>
    </w:p>
    <w:p>
      <w:pPr>
        <w:pStyle w:val="Normal"/>
        <w:spacing w:before="0" w:after="120"/>
        <w:jc w:val="both"/>
        <w:rPr>
          <w:rFonts w:ascii="Arial" w:hAnsi="Arial" w:cs="Arial"/>
          <w:sz w:val="22"/>
          <w:szCs w:val="22"/>
        </w:rPr>
      </w:pPr>
      <w:r>
        <w:rPr>
          <w:rFonts w:cs="Arial" w:ascii="Arial" w:hAnsi="Arial"/>
          <w:sz w:val="22"/>
          <w:szCs w:val="22"/>
        </w:rPr>
        <w:t>Per ogni informazione pubblicata verrà verificata:</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qualità;</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l'integrità;</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il costante aggiornamento;</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completezza;</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tempestività;</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semplicità di consultazione;</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comprensibilità;</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l'omogeneità;</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facile accessibilità;</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conformità ai documenti originali in possesso dell'amministrazione;</w:t>
      </w:r>
    </w:p>
    <w:p>
      <w:pPr>
        <w:pStyle w:val="Normal"/>
        <w:spacing w:before="0" w:after="120"/>
        <w:jc w:val="both"/>
        <w:rPr>
          <w:rFonts w:ascii="Arial" w:hAnsi="Arial" w:cs="Arial"/>
          <w:sz w:val="22"/>
          <w:szCs w:val="22"/>
        </w:rPr>
      </w:pPr>
      <w:r>
        <w:rPr>
          <w:rFonts w:cs="Arial" w:ascii="Arial" w:hAnsi="Arial"/>
          <w:sz w:val="22"/>
          <w:szCs w:val="22"/>
        </w:rPr>
        <w:t>•</w:t>
      </w:r>
      <w:r>
        <w:rPr>
          <w:rFonts w:cs="Arial" w:ascii="Arial" w:hAnsi="Arial"/>
          <w:sz w:val="22"/>
          <w:szCs w:val="22"/>
        </w:rPr>
        <w:t>la presenza dell'indicazione della loro provenienza e la riutilizzabilità.</w:t>
      </w:r>
    </w:p>
    <w:p>
      <w:pPr>
        <w:pStyle w:val="Normal"/>
        <w:jc w:val="both"/>
        <w:rPr>
          <w:rFonts w:ascii="Arial" w:hAnsi="Arial" w:cs="Arial"/>
          <w:sz w:val="22"/>
          <w:szCs w:val="22"/>
        </w:rPr>
      </w:pPr>
      <w:r>
        <w:rPr>
          <w:rFonts w:cs="Arial" w:ascii="Arial" w:hAnsi="Arial"/>
          <w:sz w:val="22"/>
          <w:szCs w:val="22"/>
        </w:rPr>
        <w:t xml:space="preserve">In sede di aggiornamento annuale del presente Piano verrà rilevato lo stato di attuazione delle azioni previste. </w:t>
      </w:r>
    </w:p>
    <w:p>
      <w:pPr>
        <w:pStyle w:val="Normal"/>
        <w:jc w:val="both"/>
        <w:rPr>
          <w:rFonts w:ascii="Arial" w:hAnsi="Arial" w:cs="Arial"/>
          <w:sz w:val="22"/>
          <w:szCs w:val="22"/>
        </w:rPr>
      </w:pPr>
      <w:r>
        <w:rPr>
          <w:rFonts w:cs="Arial" w:ascii="Arial" w:hAnsi="Arial"/>
          <w:sz w:val="22"/>
          <w:szCs w:val="22"/>
        </w:rPr>
        <w:t xml:space="preserve">Anche il </w:t>
      </w:r>
      <w:r>
        <w:rPr>
          <w:rFonts w:cs="Arial" w:ascii="Arial" w:hAnsi="Arial"/>
          <w:b/>
          <w:bCs/>
          <w:sz w:val="22"/>
          <w:szCs w:val="22"/>
        </w:rPr>
        <w:t>Nucleo di Valutazione</w:t>
      </w:r>
      <w:r>
        <w:rPr>
          <w:rFonts w:cs="Arial" w:ascii="Arial" w:hAnsi="Arial"/>
          <w:sz w:val="22"/>
          <w:szCs w:val="22"/>
        </w:rPr>
        <w:t xml:space="preserve"> (NdV) è chiamato a svolgere una importante attività di controllo, in quanto spetta a tale organismo verificare la coerenza tra gli obiettivi previsti nel Programma triennale per la trasparenza e l'integrità (ora Sezione del presente Piano), di cui all'articolo 10 del d.lgs. 33/2013 e quelli indicati nel Piano delle Performance, valutando altresì l’adeguatezza dei relativi indicatori. Inoltre, il NdV, utilizzerà  le informazioni e i dati relativi all'attuazione degli obblighi di trasparenza ai fini della misurazione e valutazione delle performance organizzativa ed individuale del responsabile e dei singoli uffici responsabili della trasmissione dei dati.</w:t>
      </w:r>
    </w:p>
    <w:p>
      <w:pPr>
        <w:pStyle w:val="Normal"/>
        <w:spacing w:before="0" w:after="198"/>
        <w:jc w:val="both"/>
        <w:rPr>
          <w:rFonts w:ascii="Arial" w:hAnsi="Arial" w:cs="Arial"/>
          <w:sz w:val="22"/>
          <w:szCs w:val="22"/>
        </w:rPr>
      </w:pPr>
      <w:r>
        <w:rPr>
          <w:rFonts w:cs="Arial" w:ascii="Arial" w:hAnsi="Arial"/>
          <w:sz w:val="22"/>
          <w:szCs w:val="22"/>
        </w:rPr>
        <w:t>L'inadempimento degli obblighi di pubblicazione previsti dalla normativa vigente costituisce elemento di valutazione della responsabilità dirigenziale; eventuale causa di responsabilità per danno all'immagine dell'amministrazione ed è comunque valutato ai fini della corresponsione della retribuzione di risultato e del trattamento accessorio collegato alla performance individuale dei dipendenti.</w:t>
      </w:r>
    </w:p>
    <w:p>
      <w:pPr>
        <w:pStyle w:val="Normal"/>
        <w:spacing w:before="0" w:after="198"/>
        <w:jc w:val="both"/>
        <w:rPr>
          <w:rFonts w:ascii="Arial" w:hAnsi="Arial" w:cs="Arial"/>
          <w:b/>
          <w:sz w:val="22"/>
          <w:szCs w:val="22"/>
        </w:rPr>
      </w:pPr>
      <w:r>
        <w:rPr>
          <w:rFonts w:cs="Arial" w:ascii="Arial" w:hAnsi="Arial"/>
          <w:b/>
          <w:sz w:val="22"/>
          <w:szCs w:val="22"/>
        </w:rPr>
        <w:t>Misure per assicurare l’efficacia dell’istituto dell’accesso civico</w:t>
      </w:r>
    </w:p>
    <w:p>
      <w:pPr>
        <w:pStyle w:val="Normal"/>
        <w:spacing w:before="0" w:after="198"/>
        <w:jc w:val="both"/>
        <w:rPr>
          <w:rFonts w:ascii="Arial" w:hAnsi="Arial" w:cs="Arial"/>
          <w:sz w:val="22"/>
          <w:szCs w:val="22"/>
        </w:rPr>
      </w:pPr>
      <w:r>
        <w:rPr>
          <w:rFonts w:cs="Arial" w:ascii="Arial" w:hAnsi="Arial"/>
          <w:sz w:val="22"/>
          <w:szCs w:val="22"/>
        </w:rPr>
        <w:t>Il Decreto Legislativo n. 97 del 25/5/2016 ha riformato radicalmente l’istituto dell’accesso civico, già previsto dall’ art. 5 del D.Lgs. 33 del 14/3/2013, stabilendo, in particolare che “chiunque ha diritto di accedere ai dati e ai documenti detenuti dalle pubbliche amministrazioni, ulteriori rispetto a quelli oggetto di pubblicazione ai sensi del presente decreto, nel rispetto dei limiti relativi alla tutela di interessi pubblici e privati giuridicamente rilevanti” (art. 5, comma2). La trasparenza diviene quindi principio fondamentale dell’organizzazione delle Pubbliche Amministrazioni e dei loro rapporti con i cittadini ed il diritto di accesso si configura come diritto azionabile da chiunque, senza necessità di motivazione dell’istanza (dunque indipendentemente dalla titolarità di situazioni giuridiche soggettive). Tale accesso cd. generalizzato si distingue pertanto sia dall’accesso civico “semplice”, già disciplinato dal D.Lgs. 33/2013 e dai Piani per la trasparenza già approvati da questo Ente, limitato ai soli atti, documenti ed informazioni oggetto di obblighi di pubblicazione, sia dall’accesso ai documenti amministrativi di cui agli artt. 22 e seguenti della Legge 7/8/1990, n. 241, avente finalità di consentire ai soli soggetti interessati la tutela delle proprie posizioni giuridiche.</w:t>
      </w:r>
    </w:p>
    <w:p>
      <w:pPr>
        <w:pStyle w:val="Pidipagina1"/>
        <w:numPr>
          <w:ilvl w:val="0"/>
          <w:numId w:val="26"/>
        </w:numPr>
        <w:spacing w:lineRule="auto" w:line="276" w:before="0" w:after="198"/>
        <w:ind w:hanging="0" w:left="0"/>
        <w:jc w:val="both"/>
        <w:rPr>
          <w:rFonts w:ascii="Arial" w:hAnsi="Arial" w:cs="Arial"/>
          <w:sz w:val="22"/>
          <w:szCs w:val="22"/>
        </w:rPr>
      </w:pPr>
      <w:r>
        <w:rPr>
          <w:rFonts w:cs="Arial" w:ascii="Arial" w:hAnsi="Arial"/>
          <w:sz w:val="22"/>
          <w:szCs w:val="22"/>
        </w:rPr>
        <w:t>E’ di tutta evidenza che la disciplina del cd. accesso generalizzato, che si aggiunge alle altre tipologie di accesso già sperimentate e disciplinate da atti generali di questo Ente, presenta caratteristiche di assoluta novità e richiede l’adozione di misure organiche per assicurarne l’efficacia. Pertanto nel corso del 2017 il RPCT ha emanato una apposita Direttiva (prot. n. 5042 del 19/7/2017) con al quale sono state indicate le misure organizzative per l’applicazione degli istituti dell’accesso civico (semplice e generalizzato) e dell’accesso documentale, attualmente attuate con esiti positivi.</w:t>
      </w:r>
    </w:p>
    <w:p>
      <w:pPr>
        <w:pStyle w:val="Pidipagina1"/>
        <w:numPr>
          <w:ilvl w:val="0"/>
          <w:numId w:val="26"/>
        </w:numPr>
        <w:spacing w:lineRule="auto" w:line="276" w:before="0" w:after="198"/>
        <w:ind w:hanging="0" w:left="0"/>
        <w:jc w:val="both"/>
        <w:rPr>
          <w:rFonts w:ascii="Arial" w:hAnsi="Arial" w:cs="Arial"/>
          <w:sz w:val="22"/>
          <w:szCs w:val="22"/>
        </w:rPr>
      </w:pPr>
      <w:r>
        <w:rPr>
          <w:rFonts w:cs="Arial" w:ascii="Arial" w:hAnsi="Arial"/>
          <w:sz w:val="22"/>
          <w:szCs w:val="22"/>
        </w:rPr>
        <w:t>Con la medesima Direttiva è stato inoltre istituito il Registro degli accessi, incaricando della sua gestione il Servizio Segreteria dell’Ente e prevedendone la pubblicazione obbligatoria sul sito istituzionale del Comune, nella Sezione “Amministrazione trasparente- Accesso civico”.</w:t>
      </w:r>
    </w:p>
    <w:p>
      <w:pPr>
        <w:pStyle w:val="Pidipagina1"/>
        <w:numPr>
          <w:ilvl w:val="0"/>
          <w:numId w:val="26"/>
        </w:numPr>
        <w:spacing w:lineRule="auto" w:line="276" w:before="0" w:after="198"/>
        <w:ind w:hanging="0" w:left="0"/>
        <w:jc w:val="both"/>
        <w:rPr>
          <w:rFonts w:ascii="Arial" w:hAnsi="Arial" w:cs="Arial"/>
          <w:sz w:val="22"/>
          <w:szCs w:val="22"/>
        </w:rPr>
      </w:pPr>
      <w:r>
        <w:rPr>
          <w:rFonts w:eastAsia="Arial" w:cs="Arial" w:ascii="Arial" w:hAnsi="Arial"/>
          <w:b/>
          <w:sz w:val="22"/>
          <w:szCs w:val="22"/>
        </w:rPr>
        <w:t>Trasparenza e nuova disciplina della tutela dei dati personali (REGOLAMENTO EUROPEO 2016/679)</w:t>
      </w:r>
    </w:p>
    <w:p>
      <w:pPr>
        <w:pStyle w:val="Normal"/>
        <w:jc w:val="both"/>
        <w:rPr>
          <w:rFonts w:ascii="Arial" w:hAnsi="Arial" w:cs="Arial"/>
          <w:sz w:val="22"/>
          <w:szCs w:val="22"/>
        </w:rPr>
      </w:pPr>
      <w:r>
        <w:rPr>
          <w:rFonts w:eastAsia="Arial" w:cs="Arial" w:ascii="Arial" w:hAnsi="Arial"/>
          <w:sz w:val="22"/>
          <w:szCs w:val="22"/>
        </w:rPr>
        <w:t>Il 25 maggio 2018 è entrato in vigore il Regolamento (UE) 2016/679, RGDP, del Parlamento Europeo e del Consiglio del 27 aprile 2016 “</w:t>
      </w:r>
      <w:r>
        <w:rPr>
          <w:rFonts w:eastAsia="Arial" w:cs="Arial" w:ascii="Arial" w:hAnsi="Arial"/>
          <w:i/>
          <w:sz w:val="22"/>
          <w:szCs w:val="22"/>
        </w:rPr>
        <w:t>relativo alla protezione delle persone fisiche con riguardo al trattamento dei dati personali, nonché alla libera circolazione di tali dati e che abroga la direttiva 95/46/CE (Regolamento generale sulla protezione dei dati)</w:t>
      </w:r>
      <w:r>
        <w:rPr>
          <w:rFonts w:eastAsia="Arial" w:cs="Arial" w:ascii="Arial" w:hAnsi="Arial"/>
          <w:sz w:val="22"/>
          <w:szCs w:val="22"/>
        </w:rPr>
        <w:t>” (di seguito RGPD) e, il 19 settembre 2018, il decreto legislativo 10 agosto 2018, n. 101 che ha adeguato il Codice in materia di protezione dei dati personali - decreto legislativo 196/2003 - alle disposizioni del Regolamento europeo 2016/679.</w:t>
      </w:r>
    </w:p>
    <w:p>
      <w:pPr>
        <w:pStyle w:val="Normal"/>
        <w:jc w:val="both"/>
        <w:rPr>
          <w:rFonts w:ascii="Arial" w:hAnsi="Arial" w:cs="Arial"/>
          <w:sz w:val="22"/>
          <w:szCs w:val="22"/>
        </w:rPr>
      </w:pPr>
      <w:r>
        <w:rPr>
          <w:rFonts w:eastAsia="Arial" w:cs="Arial" w:ascii="Arial" w:hAnsi="Arial"/>
          <w:sz w:val="22"/>
          <w:szCs w:val="22"/>
        </w:rPr>
        <w:t>L’art. 2 ter del D.lgs. 196/2003, introdotto dal D.lgs. 101/2018, in continuità con il previgente articolo 19 del Codice, dispone che la base giuridica per il trattamento di dati personali effettuato per l’esecuzione di un compito di interesse pubblico o connesso all’esercizio di pubblici poteri, ai sensi dell’art. 6, paragrafo 3, lett. b), del Regolamento (UE) 2016/679, “</w:t>
      </w:r>
      <w:r>
        <w:rPr>
          <w:rFonts w:eastAsia="Arial" w:cs="Arial" w:ascii="Arial" w:hAnsi="Arial"/>
          <w:i/>
          <w:sz w:val="22"/>
          <w:szCs w:val="22"/>
        </w:rPr>
        <w:t>è costituita esclusivamente da una norma di legge o, nei casi previsti dalla legge, di regolamento</w:t>
      </w:r>
      <w:r>
        <w:rPr>
          <w:rFonts w:eastAsia="Arial" w:cs="Arial" w:ascii="Arial" w:hAnsi="Arial"/>
          <w:sz w:val="22"/>
          <w:szCs w:val="22"/>
        </w:rPr>
        <w:t>”.</w:t>
      </w:r>
    </w:p>
    <w:p>
      <w:pPr>
        <w:pStyle w:val="Normal"/>
        <w:jc w:val="both"/>
        <w:rPr>
          <w:rFonts w:ascii="Arial" w:hAnsi="Arial" w:cs="Arial"/>
          <w:sz w:val="22"/>
          <w:szCs w:val="22"/>
        </w:rPr>
      </w:pPr>
      <w:r>
        <w:rPr>
          <w:rFonts w:eastAsia="Arial" w:cs="Arial" w:ascii="Arial" w:hAnsi="Arial"/>
          <w:sz w:val="22"/>
          <w:szCs w:val="22"/>
        </w:rPr>
        <w:t>Il comma 3 del medesimo articolo stabilisce che “</w:t>
      </w:r>
      <w:r>
        <w:rPr>
          <w:rFonts w:eastAsia="Arial" w:cs="Arial" w:ascii="Arial" w:hAnsi="Arial"/>
          <w:i/>
          <w:sz w:val="22"/>
          <w:szCs w:val="22"/>
        </w:rPr>
        <w:t>la diffusione e la comunicazione di dati personali, trattati per l’esecuzione di un compito di interesse pubblico o connesso all’esercizio di pubblici poteri, a soggetti che intendono trattarli per altre finalità sono ammesse unicamente se previste ai sensi del comma 1</w:t>
      </w:r>
      <w:r>
        <w:rPr>
          <w:rFonts w:eastAsia="Arial" w:cs="Arial" w:ascii="Arial" w:hAnsi="Arial"/>
          <w:sz w:val="22"/>
          <w:szCs w:val="22"/>
        </w:rPr>
        <w:t>”.</w:t>
      </w:r>
    </w:p>
    <w:p>
      <w:pPr>
        <w:pStyle w:val="Normal"/>
        <w:jc w:val="both"/>
        <w:rPr>
          <w:rFonts w:ascii="Arial" w:hAnsi="Arial" w:cs="Arial"/>
          <w:sz w:val="22"/>
          <w:szCs w:val="22"/>
        </w:rPr>
      </w:pPr>
      <w:r>
        <w:rPr>
          <w:rFonts w:eastAsia="Arial" w:cs="Arial" w:ascii="Arial" w:hAnsi="Arial"/>
          <w:sz w:val="22"/>
          <w:szCs w:val="22"/>
        </w:rPr>
        <w:t>Il regime normativo per il trattamento di dati personali da parte dei soggetti pubblici è, quindi, rimasto sostanzialmente inalterato restando fermo il principio che esso è consentito unicamente se ammesso da una norma di legge o di regolamento.</w:t>
      </w:r>
    </w:p>
    <w:p>
      <w:pPr>
        <w:pStyle w:val="Normal"/>
        <w:jc w:val="both"/>
        <w:rPr>
          <w:rFonts w:ascii="Arial" w:hAnsi="Arial" w:cs="Arial"/>
          <w:sz w:val="22"/>
          <w:szCs w:val="22"/>
        </w:rPr>
      </w:pPr>
      <w:r>
        <w:rPr>
          <w:rFonts w:eastAsia="Arial" w:cs="Arial" w:ascii="Arial" w:hAnsi="Arial"/>
          <w:sz w:val="22"/>
          <w:szCs w:val="22"/>
        </w:rPr>
        <w:t>Pertanto, occorre che le pubbliche amministrazioni, prima di mettere a disposizione sui propri siti web istituzionali dati e documenti (in forma integrale o per estratto, ivi compresi gli allegati) contenenti dati personali, verifichino che la disciplina in materia di trasparenza contenuta nel D.lgs. 33/2013 o in altre normative, anche di settore, preveda l’obbligo di pubblicazione.</w:t>
      </w:r>
    </w:p>
    <w:p>
      <w:pPr>
        <w:pStyle w:val="Normal"/>
        <w:jc w:val="both"/>
        <w:rPr>
          <w:rFonts w:ascii="Arial" w:hAnsi="Arial" w:cs="Arial"/>
          <w:sz w:val="22"/>
          <w:szCs w:val="22"/>
        </w:rPr>
      </w:pPr>
      <w:r>
        <w:rPr>
          <w:rFonts w:eastAsia="Arial" w:cs="Arial" w:ascii="Arial" w:hAnsi="Arial"/>
          <w:sz w:val="22"/>
          <w:szCs w:val="22"/>
        </w:rPr>
        <w:t>L’attività di pubblicazione dei dati sui siti web per finalità di trasparenza, anche se effettuata in presenza di idoneo presupposto normativo, deve avvenire nel rispetto di tutti i principi applicabili al trattamento dei dati personali contenuti all’art. 5 del RGDP.</w:t>
      </w:r>
    </w:p>
    <w:p>
      <w:pPr>
        <w:pStyle w:val="Normal"/>
        <w:jc w:val="both"/>
        <w:rPr>
          <w:rFonts w:ascii="Arial" w:hAnsi="Arial" w:cs="Arial"/>
          <w:sz w:val="22"/>
          <w:szCs w:val="22"/>
        </w:rPr>
      </w:pPr>
      <w:r>
        <w:rPr>
          <w:rFonts w:eastAsia="Arial" w:cs="Arial" w:ascii="Arial" w:hAnsi="Arial"/>
          <w:sz w:val="22"/>
          <w:szCs w:val="22"/>
        </w:rPr>
        <w:t>In particolare assumono rilievo i principi di adeguatezza, pertinenza e limitazione a quanto necessario rispetto alle finalità per le quali i dati personali sono trattati («minimizzazione dei dati») (par. 1, lett. c) e quelli di esattezza e aggiornamento dei dati, con il conseguente dovere di adottare tutte le misure ragionevoli per cancellare o rettificare tempestivamente i dati inesatti rispetto alle finalità per le quali sono trattati (par. 1, lett. d).</w:t>
      </w:r>
    </w:p>
    <w:p>
      <w:pPr>
        <w:pStyle w:val="Normal"/>
        <w:jc w:val="both"/>
        <w:rPr>
          <w:rFonts w:ascii="Arial" w:hAnsi="Arial" w:cs="Arial"/>
          <w:sz w:val="22"/>
          <w:szCs w:val="22"/>
        </w:rPr>
      </w:pPr>
      <w:r>
        <w:rPr>
          <w:rFonts w:eastAsia="Arial" w:cs="Arial" w:ascii="Arial" w:hAnsi="Arial"/>
          <w:sz w:val="22"/>
          <w:szCs w:val="22"/>
        </w:rPr>
        <w:t>Il medesimo D.lgs. 33/2013 all’art. 7 bis, comma 4, dispone inoltre che “</w:t>
      </w:r>
      <w:r>
        <w:rPr>
          <w:rFonts w:eastAsia="Arial" w:cs="Arial" w:ascii="Arial" w:hAnsi="Arial"/>
          <w:i/>
          <w:sz w:val="22"/>
          <w:szCs w:val="22"/>
        </w:rPr>
        <w:t>nei casi in cui norme di legge o di regolamento prevedano la pubblicazione di atti o documenti, le pubbliche amministrazioni provvedono a rendere non intelligibili i dati personali non pertinenti o, se sensibili o giudiziari, non indispensabili rispetto alle specifiche finalità di trasparenza della pubblicazione</w:t>
      </w:r>
      <w:r>
        <w:rPr>
          <w:rFonts w:eastAsia="Arial" w:cs="Arial" w:ascii="Arial" w:hAnsi="Arial"/>
          <w:sz w:val="22"/>
          <w:szCs w:val="22"/>
        </w:rPr>
        <w:t>”.</w:t>
      </w:r>
    </w:p>
    <w:p>
      <w:pPr>
        <w:pStyle w:val="Normal"/>
        <w:jc w:val="both"/>
        <w:rPr>
          <w:rFonts w:ascii="Arial" w:hAnsi="Arial" w:cs="Arial"/>
          <w:sz w:val="22"/>
          <w:szCs w:val="22"/>
        </w:rPr>
      </w:pPr>
      <w:r>
        <w:rPr>
          <w:rFonts w:eastAsia="Arial" w:cs="Arial" w:ascii="Arial" w:hAnsi="Arial"/>
          <w:sz w:val="22"/>
          <w:szCs w:val="22"/>
        </w:rPr>
        <w:t>Si richiama anche quanto previsto all’art. 6 del D.lgs. 33/2013 rubricato “Qualità delle informazioni” che risponde alla esigenza di assicurare esattezza, completezza, aggiornamento e adeguatezza dei dati pubblicati.</w:t>
      </w:r>
    </w:p>
    <w:p>
      <w:pPr>
        <w:pStyle w:val="Normal"/>
        <w:jc w:val="both"/>
        <w:rPr>
          <w:rFonts w:ascii="Arial" w:hAnsi="Arial" w:cs="Arial"/>
          <w:sz w:val="22"/>
          <w:szCs w:val="22"/>
        </w:rPr>
      </w:pPr>
      <w:r>
        <w:rPr>
          <w:rFonts w:eastAsia="Arial" w:cs="Arial" w:ascii="Arial" w:hAnsi="Arial"/>
          <w:sz w:val="22"/>
          <w:szCs w:val="22"/>
        </w:rPr>
        <w:t>Ai sensi della normativa europea, il Responsabile della Protezione dei Dati, RPD, svolge specifici compiti, anche di supporto, per tutta l’amministrazione essendo chiamato a informare, fornire consulenza e sorvegliare in relazione al rispetto degli obblighi derivanti della normativa in materia di protezione dei dati personali (art. 39 del Regolamento europeo).</w:t>
      </w:r>
    </w:p>
    <w:p>
      <w:pPr>
        <w:pStyle w:val="Normal"/>
        <w:jc w:val="both"/>
        <w:rPr>
          <w:rFonts w:ascii="Arial" w:hAnsi="Arial" w:cs="Arial"/>
          <w:sz w:val="22"/>
          <w:szCs w:val="22"/>
        </w:rPr>
      </w:pPr>
      <w:r>
        <w:rPr>
          <w:rFonts w:eastAsia="Arial" w:cs="Arial" w:ascii="Arial" w:hAnsi="Arial"/>
          <w:sz w:val="22"/>
          <w:szCs w:val="22"/>
        </w:rPr>
        <w:t xml:space="preserve">Con deliberazione di Giunta n. 88 del 21.05.2018 il Comune di Marano s.P. ha nominato, ai sensi dell’art. 27 del RGDP, quale </w:t>
      </w:r>
      <w:r>
        <w:rPr>
          <w:rFonts w:eastAsia="Arial" w:cs="Arial" w:ascii="Arial" w:hAnsi="Arial"/>
          <w:b/>
          <w:sz w:val="22"/>
          <w:szCs w:val="22"/>
        </w:rPr>
        <w:t>RPD dell’Ente la società Lepida SpA</w:t>
      </w:r>
      <w:r>
        <w:rPr>
          <w:rFonts w:eastAsia="Arial" w:cs="Arial" w:ascii="Arial" w:hAnsi="Arial"/>
          <w:sz w:val="22"/>
          <w:szCs w:val="22"/>
        </w:rPr>
        <w:t>, con sede in Bologna – Viale Aldo Moro n. 52, avvalendosi della facoltà previstadal comma 3 del medesimo articolo, che prevede la designazione, sulla base di una scelta condivisa con l’Unione stessa e gli Enti alla stessa aderenti, dello stesso RPD fra gli enti citati.</w:t>
      </w:r>
    </w:p>
    <w:p>
      <w:pPr>
        <w:pStyle w:val="Normal"/>
        <w:jc w:val="both"/>
        <w:rPr>
          <w:rFonts w:ascii="Arial" w:hAnsi="Arial" w:cs="Arial"/>
          <w:sz w:val="22"/>
          <w:szCs w:val="22"/>
        </w:rPr>
      </w:pPr>
      <w:r>
        <w:rPr>
          <w:rFonts w:eastAsia="Arial" w:cs="Arial" w:ascii="Arial" w:hAnsi="Arial"/>
          <w:sz w:val="22"/>
          <w:szCs w:val="22"/>
        </w:rPr>
        <w:t xml:space="preserve">Con successiva deliberazione n. 95 del 6.06.2018 il Comune di Marano s.P. ha adottato un modello organizzativo in materia di protezione dei dati personali che, tenuto conto della specifica organizzazione dell’Ente, ha definito il proprio ambito di titolarità, delegato al trattamento i Responsabili di Settore, ciascuno per il proprio ambito di competenza, definito i criteri generali da rispettare nell’individuazione dei soggetti incaricati a compiere operazioni di trattamento ed anche precisato i compiti assegnati al RPD designato. In particolare, riguardo a quest’ultimo il predetto modello organizzativo prevede che </w:t>
      </w:r>
      <w:r>
        <w:rPr>
          <w:rFonts w:eastAsia="Arial" w:cs="Arial" w:ascii="Arial" w:hAnsi="Arial"/>
          <w:b/>
          <w:sz w:val="22"/>
          <w:szCs w:val="22"/>
        </w:rPr>
        <w:t>il RPD fornisca il proprio parere</w:t>
      </w:r>
      <w:r>
        <w:rPr>
          <w:rFonts w:eastAsia="Arial" w:cs="Arial" w:ascii="Arial" w:hAnsi="Arial"/>
          <w:sz w:val="22"/>
          <w:szCs w:val="22"/>
        </w:rPr>
        <w:t xml:space="preserve"> in ordine alla legittimità e alla correttezza dei trattamenti di dati personali sulle istanze che vengono presentate ai servizi dell’Ente, anche in merito alla valutazione dell’eventuale pregiudizio che l’</w:t>
      </w:r>
      <w:r>
        <w:rPr>
          <w:rFonts w:eastAsia="Arial" w:cs="Arial" w:ascii="Arial" w:hAnsi="Arial"/>
          <w:b/>
          <w:sz w:val="22"/>
          <w:szCs w:val="22"/>
        </w:rPr>
        <w:t xml:space="preserve">accesso civico </w:t>
      </w:r>
      <w:r>
        <w:rPr>
          <w:rFonts w:eastAsia="Arial" w:cs="Arial" w:ascii="Arial" w:hAnsi="Arial"/>
          <w:sz w:val="22"/>
          <w:szCs w:val="22"/>
        </w:rPr>
        <w:t>potrebbe comportare agli interessi dei controinteressati, nella misura in cui questi afferiscono alle tutele dei loro dati personali ai sensi del comma 2 dell’art. 5 bis e, in via generale, del Regolamento europeo n. 679/2016 ed in ordine all’opposizione formulata dai controinteressati nella misura in cui questa sia riferibile ad elementi afferenti alla protezione dei dati personali, valutando la probabilità e la serietà del danno agli interessi degli opponenti.</w:t>
      </w:r>
    </w:p>
    <w:p>
      <w:pPr>
        <w:pStyle w:val="Normal"/>
        <w:jc w:val="both"/>
        <w:rPr>
          <w:rFonts w:ascii="Arial" w:hAnsi="Arial" w:eastAsia="Arial" w:cs="Arial"/>
          <w:i/>
          <w:i/>
          <w:sz w:val="22"/>
          <w:szCs w:val="22"/>
          <w:lang w:eastAsia="it-IT"/>
        </w:rPr>
      </w:pPr>
      <w:r>
        <w:rPr>
          <w:rFonts w:eastAsia="Arial" w:cs="Arial" w:ascii="Arial" w:hAnsi="Arial"/>
          <w:sz w:val="22"/>
          <w:szCs w:val="22"/>
          <w:lang w:eastAsia="it-IT"/>
        </w:rPr>
        <w:t>In proposito, il PNA 2018 dedica un approfondimento sul ruolo del RPD soffermandosi in particolare sui rapporti tra RPCT ed RPD, coerente con l’impostazione adottata dal Comune. Si legge infatti che “</w:t>
      </w:r>
      <w:r>
        <w:rPr>
          <w:rFonts w:eastAsia="Arial" w:cs="Arial" w:ascii="Arial" w:hAnsi="Arial"/>
          <w:i/>
          <w:sz w:val="22"/>
          <w:szCs w:val="22"/>
          <w:lang w:eastAsia="it-IT"/>
        </w:rPr>
        <w:t>per le questioni di carattere generale riguardanti la protezione dei dati personali, il RPD costituisce una figura di riferimento anche per il RPCT, anche se naturalmente non può sostituirsi ad esso nell’esercizio delle funzioni. Si consideri, ad esempio, il caso delle istanze di riesame di decisioni sull’accesso civico generalizzato che, per quanto possano riguardare profili attinenti alla protezione dei dati personali, sono decise dal RPCT con richiesta di parere al Garante per la protezione dei dati personali ai sensi dell’art. 5, co. 7, del d.lgs. 33/2013. In questi casi il RPCT ben si può avvalere, se ritenuto necessario, del supporto del RDP nell’ambito di un rapporto di collaborazione interna fra gli uffici ma limitatamente a profili di carattere generale, tenuto conto che proprio la legge attribuisce al RPCT il potere di richiedere un parere al Garante per la protezione dei dati personali. Ciò anche se il RPD sia stato eventualmente già consultato in prima istanza dall’ufficio che ha riscontrato l’accesso civico oggetto del riesame”.</w:t>
      </w:r>
    </w:p>
    <w:p>
      <w:pPr>
        <w:pStyle w:val="Normal"/>
        <w:jc w:val="both"/>
        <w:rPr>
          <w:rFonts w:ascii="Arial" w:hAnsi="Arial" w:eastAsia="Arial" w:cs="Arial"/>
          <w:i/>
          <w:i/>
          <w:sz w:val="22"/>
          <w:szCs w:val="22"/>
          <w:lang w:eastAsia="it-IT"/>
        </w:rPr>
      </w:pPr>
      <w:r>
        <w:rPr>
          <w:rFonts w:eastAsia="Arial" w:cs="Arial" w:ascii="Arial" w:hAnsi="Arial"/>
          <w:i/>
          <w:sz w:val="22"/>
          <w:szCs w:val="22"/>
          <w:lang w:eastAsia="it-IT"/>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sz w:val="22"/>
          <w:szCs w:val="22"/>
        </w:rPr>
      </w:pPr>
      <w:r>
        <w:rPr>
          <w:rFonts w:cs="Arial" w:ascii="Arial" w:hAnsi="Arial"/>
          <w:b/>
          <w:sz w:val="22"/>
          <w:szCs w:val="22"/>
        </w:rPr>
        <w:t>Coordinamento con gli strumenti di programmazione dell’Ente</w:t>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before="0" w:after="120"/>
        <w:jc w:val="both"/>
        <w:rPr>
          <w:rFonts w:ascii="Arial" w:hAnsi="Arial" w:cs="Arial"/>
          <w:sz w:val="22"/>
          <w:szCs w:val="22"/>
          <w:lang w:eastAsia="zh-CN"/>
        </w:rPr>
      </w:pPr>
      <w:r>
        <w:rPr>
          <w:rFonts w:cs="Arial" w:ascii="Arial" w:hAnsi="Arial"/>
          <w:sz w:val="22"/>
          <w:szCs w:val="22"/>
          <w:highlight w:val="white"/>
          <w:lang w:eastAsia="zh-CN"/>
        </w:rPr>
        <w:t>Il presente Piano,come anche i precedenti, si coordina, come ampiamente auspicato nella citata Determinazione n. 12/2015 dell’ANAC, con gli strumenti di programmazione già esistenti nell’Amminist</w:t>
      </w:r>
      <w:r>
        <w:rPr>
          <w:rFonts w:cs="Arial" w:ascii="Arial" w:hAnsi="Arial"/>
          <w:sz w:val="22"/>
          <w:szCs w:val="22"/>
          <w:lang w:eastAsia="zh-CN"/>
        </w:rPr>
        <w:t xml:space="preserve">razione nonché col ciclo di gestione della </w:t>
      </w:r>
      <w:r>
        <w:rPr>
          <w:rFonts w:cs="Arial" w:ascii="Arial" w:hAnsi="Arial"/>
          <w:i/>
          <w:sz w:val="22"/>
          <w:szCs w:val="22"/>
          <w:lang w:eastAsia="zh-CN"/>
        </w:rPr>
        <w:t>performance</w:t>
      </w:r>
      <w:r>
        <w:rPr>
          <w:rFonts w:cs="Arial" w:ascii="Arial" w:hAnsi="Arial"/>
          <w:sz w:val="22"/>
          <w:szCs w:val="22"/>
          <w:lang w:eastAsia="zh-CN"/>
        </w:rPr>
        <w:t xml:space="preserve">. </w:t>
      </w:r>
      <w:r>
        <w:rPr>
          <w:rFonts w:eastAsia="Tahoma" w:cs="Arial" w:ascii="Arial" w:hAnsi="Arial"/>
          <w:sz w:val="22"/>
          <w:szCs w:val="22"/>
          <w:lang w:eastAsia="zh-CN"/>
        </w:rPr>
        <w:t xml:space="preserve">Risulta indispensabile, infatti, un’azione sinergica e condivisa tra le azioni programmatiche di cui al presente Piano e quelle previste nei documenti programmatici. La legge n. 190/2012 infatti - sviluppando il collegamento funzionale, già delineato dal D.Lgs. n. 150/2009, tra </w:t>
      </w:r>
      <w:r>
        <w:rPr>
          <w:rFonts w:eastAsia="Tahoma" w:cs="Arial" w:ascii="Arial" w:hAnsi="Arial"/>
          <w:i/>
          <w:sz w:val="22"/>
          <w:szCs w:val="22"/>
          <w:lang w:eastAsia="zh-CN"/>
        </w:rPr>
        <w:t>performance</w:t>
      </w:r>
      <w:r>
        <w:rPr>
          <w:rFonts w:eastAsia="Tahoma" w:cs="Arial" w:ascii="Arial" w:hAnsi="Arial"/>
          <w:sz w:val="22"/>
          <w:szCs w:val="22"/>
          <w:lang w:eastAsia="zh-CN"/>
        </w:rPr>
        <w:t xml:space="preserve">, trasparenza, intesa come strumento di </w:t>
      </w:r>
      <w:r>
        <w:rPr>
          <w:rFonts w:eastAsia="Tahoma" w:cs="Arial" w:ascii="Arial" w:hAnsi="Arial"/>
          <w:i/>
          <w:sz w:val="22"/>
          <w:szCs w:val="22"/>
          <w:lang w:eastAsia="zh-CN"/>
        </w:rPr>
        <w:t>accountability</w:t>
      </w:r>
      <w:r>
        <w:rPr>
          <w:rFonts w:eastAsia="Tahoma" w:cs="Arial" w:ascii="Arial" w:hAnsi="Arial"/>
          <w:sz w:val="22"/>
          <w:szCs w:val="22"/>
          <w:lang w:eastAsia="zh-CN"/>
        </w:rPr>
        <w:t xml:space="preserve"> e di controllo diffuso ed integrità, ai fini della prevenzione della corruzione – ha definito nuovi strumenti finalizzati a prevenire o sanzionare fatti, situazioni e comportamenti sintomatici di fenomeni corruttivi. </w:t>
      </w:r>
    </w:p>
    <w:p>
      <w:pPr>
        <w:pStyle w:val="Normal"/>
        <w:jc w:val="both"/>
        <w:rPr>
          <w:rFonts w:ascii="Arial" w:hAnsi="Arial" w:cs="Arial"/>
          <w:sz w:val="22"/>
          <w:szCs w:val="22"/>
          <w:lang w:eastAsia="zh-CN"/>
        </w:rPr>
      </w:pPr>
      <w:r>
        <w:rPr>
          <w:rFonts w:eastAsia="Tahoma" w:cs="Arial" w:ascii="Arial" w:hAnsi="Arial"/>
          <w:sz w:val="22"/>
          <w:szCs w:val="22"/>
          <w:lang w:eastAsia="zh-CN"/>
        </w:rPr>
        <w:t>La legge anticorruzione, modificata dal decreto legislativo 97/2016, ha disposto che l’organo di indirizzo definisca “</w:t>
      </w:r>
      <w:r>
        <w:rPr>
          <w:rFonts w:eastAsia="Tahoma" w:cs="Arial" w:ascii="Arial" w:hAnsi="Arial"/>
          <w:i/>
          <w:sz w:val="22"/>
          <w:szCs w:val="22"/>
          <w:lang w:eastAsia="zh-CN"/>
        </w:rPr>
        <w:t>gli obiettivi strategici in materia di prevenzione della corruzione e trasparenza, che costituiscono contenuto necessario dei documenti di programmazione strategico gestionale e del piano triennale per la prevenzione della corruzione</w:t>
      </w:r>
      <w:r>
        <w:rPr>
          <w:rFonts w:eastAsia="Tahoma" w:cs="Arial" w:ascii="Arial" w:hAnsi="Arial"/>
          <w:sz w:val="22"/>
          <w:szCs w:val="22"/>
          <w:lang w:eastAsia="zh-CN"/>
        </w:rPr>
        <w:t>”.</w:t>
      </w:r>
    </w:p>
    <w:p>
      <w:pPr>
        <w:pStyle w:val="Normal"/>
        <w:jc w:val="both"/>
        <w:rPr>
          <w:rFonts w:ascii="Arial" w:hAnsi="Arial" w:cs="Arial"/>
          <w:sz w:val="22"/>
          <w:szCs w:val="22"/>
          <w:lang w:eastAsia="zh-CN"/>
        </w:rPr>
      </w:pPr>
      <w:r>
        <w:rPr>
          <w:rFonts w:eastAsia="Tahoma" w:cs="Arial" w:ascii="Arial" w:hAnsi="Arial"/>
          <w:sz w:val="22"/>
          <w:szCs w:val="22"/>
          <w:lang w:eastAsia="zh-CN"/>
        </w:rPr>
        <w:t>Pertanto, secondo l’ANAC (PNA 2016 pag. 44), gli obiettivi del PTPCT (ora Sottosezione del PIAO) devono essere necessariamente coordinati con quelli fissati da altri documenti di programmazione dei comuni quali:</w:t>
      </w:r>
    </w:p>
    <w:p>
      <w:pPr>
        <w:pStyle w:val="Normal"/>
        <w:jc w:val="both"/>
        <w:rPr>
          <w:rFonts w:ascii="Arial" w:hAnsi="Arial" w:cs="Arial"/>
          <w:sz w:val="22"/>
          <w:szCs w:val="22"/>
          <w:lang w:eastAsia="zh-CN"/>
        </w:rPr>
      </w:pPr>
      <w:r>
        <w:rPr>
          <w:rFonts w:eastAsia="Tahoma" w:cs="Arial" w:ascii="Arial" w:hAnsi="Arial"/>
          <w:sz w:val="22"/>
          <w:szCs w:val="22"/>
          <w:lang w:eastAsia="zh-CN"/>
        </w:rPr>
        <w:t xml:space="preserve">1. il piano della </w:t>
      </w:r>
      <w:r>
        <w:rPr>
          <w:rFonts w:eastAsia="Tahoma" w:cs="Arial" w:ascii="Arial" w:hAnsi="Arial"/>
          <w:i/>
          <w:sz w:val="22"/>
          <w:szCs w:val="22"/>
          <w:lang w:eastAsia="zh-CN"/>
        </w:rPr>
        <w:t>performance</w:t>
      </w:r>
      <w:r>
        <w:rPr>
          <w:rFonts w:eastAsia="Tahoma" w:cs="Arial" w:ascii="Arial" w:hAnsi="Arial"/>
          <w:sz w:val="22"/>
          <w:szCs w:val="22"/>
          <w:lang w:eastAsia="zh-CN"/>
        </w:rPr>
        <w:t>;</w:t>
      </w:r>
    </w:p>
    <w:p>
      <w:pPr>
        <w:pStyle w:val="Normal"/>
        <w:spacing w:before="0" w:after="120"/>
        <w:jc w:val="both"/>
        <w:rPr>
          <w:rFonts w:ascii="Arial" w:hAnsi="Arial" w:cs="Arial"/>
          <w:sz w:val="22"/>
          <w:szCs w:val="22"/>
          <w:lang w:eastAsia="zh-CN"/>
        </w:rPr>
      </w:pPr>
      <w:r>
        <w:rPr>
          <w:rFonts w:cs="Arial" w:ascii="Arial" w:hAnsi="Arial"/>
          <w:sz w:val="22"/>
          <w:szCs w:val="22"/>
          <w:lang w:eastAsia="zh-CN"/>
        </w:rPr>
        <w:t>2. il documento unico di programmazione (DUP).</w:t>
      </w:r>
    </w:p>
    <w:p>
      <w:pPr>
        <w:pStyle w:val="Normal"/>
        <w:spacing w:before="0" w:after="120"/>
        <w:jc w:val="both"/>
        <w:rPr>
          <w:rFonts w:ascii="Arial" w:hAnsi="Arial" w:cs="Arial"/>
          <w:sz w:val="22"/>
          <w:szCs w:val="22"/>
          <w:lang w:eastAsia="zh-CN"/>
        </w:rPr>
      </w:pPr>
      <w:r>
        <w:rPr>
          <w:rFonts w:cs="Arial" w:ascii="Arial" w:hAnsi="Arial"/>
          <w:sz w:val="22"/>
          <w:szCs w:val="22"/>
          <w:lang w:eastAsia="zh-CN"/>
        </w:rPr>
        <w:t>In particolare, riguardo al DUP, il PNA 2016 “propone” che tra gli obiettivi strategico- operativi di tale strumento “</w:t>
      </w:r>
      <w:r>
        <w:rPr>
          <w:rFonts w:cs="Arial" w:ascii="Arial" w:hAnsi="Arial"/>
          <w:i/>
          <w:sz w:val="22"/>
          <w:szCs w:val="22"/>
          <w:lang w:eastAsia="zh-CN"/>
        </w:rPr>
        <w:t>vengano inseriti quelli relativi alle misure di prevenzione della corruzione previsti nel PTPCT al fine di migliorare la coerenza programmatica e l’efficacia operativa degli strumenti</w:t>
      </w:r>
      <w:r>
        <w:rPr>
          <w:rFonts w:cs="Arial" w:ascii="Arial" w:hAnsi="Arial"/>
          <w:sz w:val="22"/>
          <w:szCs w:val="22"/>
          <w:lang w:eastAsia="zh-CN"/>
        </w:rPr>
        <w:t>”. In questo contesto la linea d’azione dell’Amministrazione adottata fin dallo scorso anno è pienamente conforme alle previsioni legislative. Innanzitutto nel Documento Unico di Programmazione (DUP) da ultimo approvato (con riferimento al</w:t>
      </w:r>
      <w:r>
        <w:rPr>
          <w:rFonts w:cs="Arial" w:ascii="Arial" w:hAnsi="Arial"/>
          <w:sz w:val="22"/>
          <w:szCs w:val="22"/>
          <w:highlight w:val="white"/>
          <w:lang w:eastAsia="zh-CN"/>
        </w:rPr>
        <w:t xml:space="preserve"> triennio 2025-2027) sono presenti l’indirizzi strategici ed operativi in materia di prevenzione della corruzione di trasparenza.</w:t>
      </w:r>
    </w:p>
    <w:p>
      <w:pPr>
        <w:pStyle w:val="Normal"/>
        <w:jc w:val="both"/>
        <w:rPr>
          <w:rFonts w:ascii="Arial" w:hAnsi="Arial" w:cs="Arial"/>
          <w:sz w:val="22"/>
          <w:szCs w:val="22"/>
          <w:lang w:eastAsia="zh-CN"/>
        </w:rPr>
      </w:pPr>
      <w:r>
        <w:rPr>
          <w:rFonts w:eastAsia="Tahoma" w:cs="Arial" w:ascii="Arial" w:hAnsi="Arial"/>
          <w:sz w:val="22"/>
          <w:szCs w:val="22"/>
          <w:highlight w:val="white"/>
          <w:lang w:eastAsia="zh-CN"/>
        </w:rPr>
        <w:t xml:space="preserve">Pertanto il vigente Piano dettagliato degli obiettivi e della </w:t>
      </w:r>
      <w:r>
        <w:rPr>
          <w:rFonts w:eastAsia="Tahoma" w:cs="Arial" w:ascii="Arial" w:hAnsi="Arial"/>
          <w:i/>
          <w:sz w:val="22"/>
          <w:szCs w:val="22"/>
          <w:highlight w:val="white"/>
          <w:lang w:eastAsia="zh-CN"/>
        </w:rPr>
        <w:t>performance</w:t>
      </w:r>
      <w:r>
        <w:rPr>
          <w:rFonts w:eastAsia="Tahoma" w:cs="Arial" w:ascii="Arial" w:hAnsi="Arial"/>
          <w:sz w:val="22"/>
          <w:szCs w:val="22"/>
          <w:highlight w:val="white"/>
          <w:lang w:eastAsia="zh-CN"/>
        </w:rPr>
        <w:t xml:space="preserve"> 2025-202</w:t>
      </w:r>
      <w:r>
        <w:rPr>
          <w:rFonts w:eastAsia="Tahoma" w:cs="Arial" w:ascii="Arial" w:hAnsi="Arial"/>
          <w:sz w:val="22"/>
          <w:szCs w:val="22"/>
          <w:lang w:eastAsia="zh-CN"/>
        </w:rPr>
        <w:t xml:space="preserve">7 ed il Piano che verrà approvato per il triennio 2026-2028, prevede anche precisi obiettivi di attuazione delle misure di prevenzione della corruzione e di attuazione della trasparenza e dell’integrità. </w:t>
      </w:r>
    </w:p>
    <w:p>
      <w:pPr>
        <w:pStyle w:val="Normal"/>
        <w:jc w:val="both"/>
        <w:rPr>
          <w:rFonts w:ascii="Arial" w:hAnsi="Arial" w:cs="Arial"/>
          <w:sz w:val="22"/>
          <w:szCs w:val="22"/>
          <w:lang w:eastAsia="zh-CN"/>
        </w:rPr>
      </w:pPr>
      <w:r>
        <w:rPr>
          <w:rFonts w:eastAsia="Tahoma" w:cs="Arial" w:ascii="Arial" w:hAnsi="Arial"/>
          <w:sz w:val="22"/>
          <w:szCs w:val="22"/>
          <w:lang w:eastAsia="zh-CN"/>
        </w:rPr>
        <w:t>Si legge tra l’altro nella determinazione 12/2015 dell’ANAC: “</w:t>
      </w:r>
      <w:r>
        <w:rPr>
          <w:rFonts w:eastAsia="Tahoma" w:cs="Arial" w:ascii="Arial" w:hAnsi="Arial"/>
          <w:i/>
          <w:sz w:val="22"/>
          <w:szCs w:val="22"/>
          <w:lang w:eastAsia="zh-CN"/>
        </w:rPr>
        <w:t>Particolare attenzione deve essere posta alla coerenza tra PTPC e Piano della performance o documento analogo, sotto due profili: a) le politiche sulla performance contribuiscono alla costruzione di un clima organizzativo che favorisce la prevenzione della corruzione; b) le misure di prevenzione della corruzione devono essere tradotte, sempre, in obiettivi organizzativi ed individuali assegnati agli uffici e ai loro dirigenti. Ciò agevola l’individuazione di misure ben definite in termini di obiettivi, le rende più effettive e verificabili e conferma la piena coerenza tra misure anticorruzione e perseguimento della funzionalità amministrativa</w:t>
      </w:r>
      <w:r>
        <w:rPr>
          <w:rFonts w:eastAsia="Tahoma" w:cs="Arial" w:ascii="Arial" w:hAnsi="Arial"/>
          <w:sz w:val="22"/>
          <w:szCs w:val="22"/>
          <w:lang w:eastAsia="zh-CN"/>
        </w:rPr>
        <w:t xml:space="preserve">”. </w:t>
      </w:r>
    </w:p>
    <w:p>
      <w:pPr>
        <w:pStyle w:val="Normal"/>
        <w:spacing w:before="0" w:after="120"/>
        <w:jc w:val="both"/>
        <w:rPr>
          <w:rFonts w:ascii="Arial" w:hAnsi="Arial" w:cs="Arial"/>
          <w:sz w:val="22"/>
          <w:szCs w:val="22"/>
          <w:lang w:eastAsia="zh-CN"/>
        </w:rPr>
      </w:pPr>
      <w:r>
        <w:rPr>
          <w:rFonts w:eastAsia="Tahoma" w:cs="Arial" w:ascii="Arial" w:hAnsi="Arial"/>
          <w:sz w:val="22"/>
          <w:szCs w:val="22"/>
          <w:lang w:eastAsia="zh-CN"/>
        </w:rPr>
        <w:t xml:space="preserve">Ai fini dell’integrazione e del coordinamento del ciclo della </w:t>
      </w:r>
      <w:r>
        <w:rPr>
          <w:rFonts w:eastAsia="Tahoma" w:cs="Arial" w:ascii="Arial" w:hAnsi="Arial"/>
          <w:i/>
          <w:sz w:val="22"/>
          <w:szCs w:val="22"/>
          <w:lang w:eastAsia="zh-CN"/>
        </w:rPr>
        <w:t>performance</w:t>
      </w:r>
      <w:r>
        <w:rPr>
          <w:rFonts w:eastAsia="Tahoma" w:cs="Arial" w:ascii="Arial" w:hAnsi="Arial"/>
          <w:sz w:val="22"/>
          <w:szCs w:val="22"/>
          <w:lang w:eastAsia="zh-CN"/>
        </w:rPr>
        <w:t xml:space="preserve"> con gli strumenti e i processi relativi alla qualità dei servizi, alla trasparenza, all’integrità e in generale alla prevenzione della anticorruzione, sulla base delle previsioni contenute nel Piano Nazionale Anticorruzione, questa Amministrazione individuerà quindi anche per il</w:t>
      </w:r>
      <w:r>
        <w:rPr>
          <w:rFonts w:eastAsia="Tahoma" w:cs="Arial" w:ascii="Arial" w:hAnsi="Arial"/>
          <w:sz w:val="22"/>
          <w:szCs w:val="22"/>
          <w:highlight w:val="white"/>
          <w:lang w:eastAsia="zh-CN"/>
        </w:rPr>
        <w:t xml:space="preserve"> 2026,</w:t>
      </w:r>
      <w:r>
        <w:rPr>
          <w:rFonts w:eastAsia="Tahoma" w:cs="Arial" w:ascii="Arial" w:hAnsi="Arial"/>
          <w:sz w:val="22"/>
          <w:szCs w:val="22"/>
          <w:lang w:eastAsia="zh-CN"/>
        </w:rPr>
        <w:t xml:space="preserve"> analogamente ed in continuazione a quanto è avvenuto per gli anni precedenti, obiettivi da assegnare ai Responsabili di Settore, responsabili dell’attuazione delle misure di prevenzione previste nel presente Piano. I risultati conseguiti in relazione a tali obiettivi saranno valutati sia ai fini della </w:t>
      </w:r>
      <w:r>
        <w:rPr>
          <w:rFonts w:eastAsia="Tahoma" w:cs="Arial" w:ascii="Arial" w:hAnsi="Arial"/>
          <w:i/>
          <w:sz w:val="22"/>
          <w:szCs w:val="22"/>
          <w:lang w:eastAsia="zh-CN"/>
        </w:rPr>
        <w:t>performance</w:t>
      </w:r>
      <w:r>
        <w:rPr>
          <w:rFonts w:eastAsia="Tahoma" w:cs="Arial" w:ascii="Arial" w:hAnsi="Arial"/>
          <w:sz w:val="22"/>
          <w:szCs w:val="22"/>
          <w:lang w:eastAsia="zh-CN"/>
        </w:rPr>
        <w:t xml:space="preserve"> organizzativa che ai fini della </w:t>
      </w:r>
      <w:r>
        <w:rPr>
          <w:rFonts w:eastAsia="Tahoma" w:cs="Arial" w:ascii="Arial" w:hAnsi="Arial"/>
          <w:i/>
          <w:sz w:val="22"/>
          <w:szCs w:val="22"/>
          <w:lang w:eastAsia="zh-CN"/>
        </w:rPr>
        <w:t>performance</w:t>
      </w:r>
      <w:r>
        <w:rPr>
          <w:rFonts w:eastAsia="Tahoma" w:cs="Arial" w:ascii="Arial" w:hAnsi="Arial"/>
          <w:sz w:val="22"/>
          <w:szCs w:val="22"/>
          <w:lang w:eastAsia="zh-CN"/>
        </w:rPr>
        <w:t xml:space="preserve"> individuale anche per la corresponsione dell’indennità di risultato.</w:t>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
        <w:spacing w:lineRule="exact" w:line="260" w:before="120" w:after="0"/>
        <w:jc w:val="both"/>
        <w:rPr>
          <w:rFonts w:ascii="Arial" w:hAnsi="Arial" w:cs="Arial"/>
          <w:sz w:val="22"/>
          <w:szCs w:val="22"/>
        </w:rPr>
      </w:pPr>
      <w:r>
        <w:rPr>
          <w:rFonts w:cs="Arial" w:ascii="Arial" w:hAnsi="Arial"/>
          <w:sz w:val="22"/>
          <w:szCs w:val="22"/>
        </w:rPr>
      </w:r>
    </w:p>
    <w:p>
      <w:pPr>
        <w:pStyle w:val="NormalWeb"/>
        <w:spacing w:before="280" w:after="280"/>
        <w:jc w:val="both"/>
        <w:rPr>
          <w:sz w:val="28"/>
          <w:szCs w:val="28"/>
        </w:rPr>
      </w:pPr>
      <w:r>
        <w:rPr>
          <w:rFonts w:eastAsia="Calibri" w:cs="Arial" w:ascii="Arial" w:hAnsi="Arial" w:eastAsiaTheme="minorHAnsi"/>
          <w:sz w:val="28"/>
          <w:szCs w:val="28"/>
          <w:lang w:eastAsia="en-US"/>
        </w:rPr>
        <w:t>3. SEZIONE: ORGANIZZAZIONE E CAPITALE UMANO</w:t>
      </w:r>
    </w:p>
    <w:p>
      <w:pPr>
        <w:pStyle w:val="NormalWeb"/>
        <w:spacing w:before="280" w:after="280"/>
        <w:jc w:val="both"/>
        <w:rPr>
          <w:b/>
          <w:bCs/>
        </w:rPr>
      </w:pPr>
      <w:r>
        <w:rPr>
          <w:rFonts w:eastAsia="Calibri" w:cs="Arial" w:ascii="Arial" w:hAnsi="Arial" w:eastAsiaTheme="minorHAnsi"/>
          <w:b/>
          <w:bCs/>
          <w:sz w:val="22"/>
          <w:szCs w:val="22"/>
          <w:lang w:eastAsia="en-US"/>
        </w:rPr>
        <w:t>3.1 Sottosezione :Struttura organizzativa</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In questa sezione si presenta il modello organizzativo adottato dal Comune di Marano sul Panaro. La Struttura organizzativa del Comune alla data del 1° gennaio 2026 è rappresentata nel seguente organigramma:</w:t>
      </w:r>
    </w:p>
    <w:p>
      <w:pPr>
        <w:pStyle w:val="NormalWeb"/>
        <w:spacing w:before="280" w:after="280"/>
        <w:jc w:val="both"/>
        <w:rPr>
          <w:rFonts w:ascii="Arial" w:hAnsi="Arial" w:eastAsia="Calibri" w:cs="Arial" w:eastAsiaTheme="minorHAnsi"/>
          <w:sz w:val="22"/>
          <w:szCs w:val="22"/>
          <w:lang w:eastAsia="en-US"/>
        </w:rPr>
      </w:pPr>
      <w:r>
        <w:rPr>
          <w:rFonts w:eastAsia="Calibri" w:cs="Arial" w:eastAsiaTheme="minorHAnsi" w:ascii="Arial" w:hAnsi="Arial"/>
          <w:sz w:val="22"/>
          <w:szCs w:val="22"/>
          <w:lang w:eastAsia="en-US"/>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6315710" cy="3887470"/>
            <wp:effectExtent l="0" t="0" r="0" b="0"/>
            <wp:wrapSquare wrapText="largest"/>
            <wp:docPr id="9"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4" descr=""/>
                    <pic:cNvPicPr>
                      <a:picLocks noChangeAspect="1" noChangeArrowheads="1"/>
                    </pic:cNvPicPr>
                  </pic:nvPicPr>
                  <pic:blipFill>
                    <a:blip r:embed="rId17"/>
                    <a:srcRect l="0" t="0" r="0" b="16577"/>
                    <a:stretch>
                      <a:fillRect/>
                    </a:stretch>
                  </pic:blipFill>
                  <pic:spPr bwMode="auto">
                    <a:xfrm>
                      <a:off x="0" y="0"/>
                      <a:ext cx="6315710" cy="3887470"/>
                    </a:xfrm>
                    <a:prstGeom prst="rect">
                      <a:avLst/>
                    </a:prstGeom>
                  </pic:spPr>
                </pic:pic>
              </a:graphicData>
            </a:graphic>
          </wp:anchor>
        </w:drawing>
      </w:r>
    </w:p>
    <w:p>
      <w:pPr>
        <w:pStyle w:val="NormalWeb"/>
        <w:spacing w:beforeAutospacing="0" w:before="120" w:afterAutospacing="0" w:after="240"/>
        <w:jc w:val="both"/>
        <w:rPr>
          <w:rFonts w:ascii="Arial" w:hAnsi="Arial" w:eastAsia="Calibri" w:cs="Arial" w:eastAsiaTheme="minorHAnsi"/>
          <w:sz w:val="22"/>
          <w:szCs w:val="22"/>
          <w:lang w:eastAsia="en-US"/>
        </w:rPr>
      </w:pPr>
      <w:r>
        <w:rPr>
          <w:rFonts w:eastAsia="Calibri" w:cs="Arial" w:eastAsiaTheme="minorHAnsi" w:ascii="Arial" w:hAnsi="Arial"/>
          <w:sz w:val="22"/>
          <w:szCs w:val="22"/>
          <w:lang w:eastAsia="en-US"/>
        </w:rPr>
      </w:r>
    </w:p>
    <w:p>
      <w:pPr>
        <w:pStyle w:val="NormalWeb"/>
        <w:spacing w:beforeAutospacing="0" w:before="120" w:afterAutospacing="0" w:after="24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Rispetto alla struttura organizzativa sopra rappresentata la attuale dotazione organica del Comune è indicata al paragrafo 3.3.1.</w:t>
      </w:r>
    </w:p>
    <w:p>
      <w:pPr>
        <w:pStyle w:val="Normal"/>
        <w:spacing w:lineRule="exact" w:line="260" w:before="360" w:after="0"/>
        <w:jc w:val="both"/>
        <w:rPr>
          <w:rFonts w:ascii="Arial" w:hAnsi="Arial" w:eastAsia="" w:cs="Arial" w:eastAsiaTheme="majorEastAsia"/>
          <w:color w:themeColor="accent1" w:themeShade="bf" w:val="2F5496"/>
        </w:rPr>
      </w:pPr>
      <w:r>
        <w:rPr>
          <w:rFonts w:eastAsia="" w:cs="Arial" w:ascii="Arial" w:hAnsi="Arial" w:eastAsiaTheme="majorEastAsia"/>
          <w:color w:themeColor="accent1" w:themeShade="bf" w:val="2F5496"/>
        </w:rPr>
        <w:t>Il funzionigramma dei Settori e Servizi dell’Ente</w:t>
      </w:r>
    </w:p>
    <w:p>
      <w:pPr>
        <w:pStyle w:val="Titolo21"/>
        <w:rPr/>
      </w:pPr>
      <w:r>
        <w:rPr/>
      </w:r>
    </w:p>
    <w:p>
      <w:pPr>
        <w:pStyle w:val="Normal"/>
        <w:rPr>
          <w:rFonts w:ascii="Arial" w:hAnsi="Arial" w:cs="Arial"/>
          <w:sz w:val="22"/>
          <w:szCs w:val="22"/>
        </w:rPr>
      </w:pPr>
      <w:r>
        <w:rPr>
          <w:rFonts w:cs="Arial" w:ascii="Arial" w:hAnsi="Arial"/>
          <w:sz w:val="22"/>
          <w:szCs w:val="22"/>
        </w:rPr>
        <w:t>Come analizzabile anche dal sito istituzionale dell’Ente, il Comune è così organizzato:</w:t>
      </w:r>
    </w:p>
    <w:p>
      <w:pPr>
        <w:pStyle w:val="Normal"/>
        <w:rPr>
          <w:rFonts w:ascii="Arial" w:hAnsi="Arial" w:cs="Arial"/>
          <w:sz w:val="22"/>
          <w:szCs w:val="22"/>
        </w:rPr>
      </w:pPr>
      <w:r>
        <w:rPr>
          <w:rFonts w:cs="Arial" w:ascii="Arial" w:hAnsi="Arial"/>
          <w:sz w:val="22"/>
          <w:szCs w:val="22"/>
        </w:rPr>
      </w:r>
    </w:p>
    <w:p>
      <w:pPr>
        <w:pStyle w:val="NormalWeb"/>
        <w:spacing w:lineRule="exact" w:line="280" w:before="280" w:after="280"/>
        <w:jc w:val="both"/>
        <w:rPr>
          <w:rFonts w:ascii="Arial" w:hAnsi="Arial" w:eastAsia="Calibri" w:cs="Arial" w:eastAsiaTheme="minorHAnsi"/>
          <w:b/>
          <w:bCs/>
          <w:sz w:val="22"/>
          <w:szCs w:val="22"/>
          <w:lang w:eastAsia="en-US"/>
        </w:rPr>
      </w:pPr>
      <w:r>
        <w:rPr>
          <w:rFonts w:eastAsia="Calibri" w:cs="Arial" w:ascii="Arial" w:hAnsi="Arial" w:eastAsiaTheme="minorHAnsi"/>
          <w:b/>
          <w:bCs/>
          <w:sz w:val="22"/>
          <w:szCs w:val="22"/>
          <w:lang w:eastAsia="en-US"/>
        </w:rPr>
        <w:t>SETTORE AMMINISTRATIVO</w:t>
      </w:r>
    </w:p>
    <w:p>
      <w:pPr>
        <w:pStyle w:val="NormalWeb"/>
        <w:numPr>
          <w:ilvl w:val="0"/>
          <w:numId w:val="15"/>
        </w:numPr>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Ufficio relazioni con il Pubblico (U.R.P.)</w:t>
      </w:r>
    </w:p>
    <w:p>
      <w:pPr>
        <w:pStyle w:val="NormalWeb"/>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2</w:t>
        <w:tab/>
        <w:t>Servizi demografici</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Principali funzioni:</w:t>
      </w:r>
    </w:p>
    <w:p>
      <w:pPr>
        <w:pStyle w:val="NormalWeb"/>
        <w:numPr>
          <w:ilvl w:val="0"/>
          <w:numId w:val="14"/>
        </w:numPr>
        <w:spacing w:beforeAutospacing="0" w:before="28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tenuta e aggiornamenti deiregistri anagrafici, compreso quello per i cittadini italiani residenti all’estero (AIRE)</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18">
        <w:r>
          <w:rPr>
            <w:rStyle w:val="ListLabel1"/>
          </w:rPr>
          <w:t>autocertificazioni</w:t>
        </w:r>
      </w:hyperlink>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19">
        <w:r>
          <w:rPr>
            <w:rStyle w:val="ListLabel1"/>
          </w:rPr>
          <w:t>carte di identità</w:t>
        </w:r>
      </w:hyperlink>
      <w:r>
        <w:rPr>
          <w:rFonts w:eastAsia="Calibri" w:cs="Arial" w:ascii="Arial" w:hAnsi="Arial" w:eastAsiaTheme="minorHAnsi"/>
          <w:sz w:val="22"/>
          <w:szCs w:val="22"/>
          <w:lang w:eastAsia="en-US"/>
        </w:rPr>
        <w:t>, lasciapassare,</w:t>
      </w:r>
      <w:hyperlink r:id="rId20">
        <w:r>
          <w:rPr>
            <w:rStyle w:val="ListLabel1"/>
          </w:rPr>
          <w:t>passaporto</w:t>
        </w:r>
      </w:hyperlink>
      <w:r>
        <w:rPr>
          <w:rFonts w:eastAsia="Calibri" w:cs="Arial" w:ascii="Arial" w:hAnsi="Arial" w:eastAsiaTheme="minorHAnsi"/>
          <w:sz w:val="22"/>
          <w:szCs w:val="22"/>
          <w:lang w:eastAsia="en-US"/>
        </w:rPr>
        <w:t xml:space="preserve">, cartellini di riconoscimento per i minori </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certificazioni </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21">
        <w:r>
          <w:rPr>
            <w:rStyle w:val="ListLabel1"/>
          </w:rPr>
          <w:t>passaggi di proprietà di veicoli</w:t>
        </w:r>
      </w:hyperlink>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22">
        <w:r>
          <w:rPr>
            <w:rStyle w:val="ListLabel1"/>
          </w:rPr>
          <w:t>cambi di residenza</w:t>
        </w:r>
      </w:hyperlink>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23">
        <w:r>
          <w:rPr>
            <w:rStyle w:val="ListLabel1"/>
          </w:rPr>
          <w:t>domicilio</w:t>
        </w:r>
      </w:hyperlink>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24">
        <w:r>
          <w:rPr>
            <w:rStyle w:val="ListLabel1"/>
          </w:rPr>
          <w:t>convivenze di fatto</w:t>
        </w:r>
      </w:hyperlink>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statistiche mensili ed annuali sulla popolazione </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registrazione denunce di infortunio (INAIL) </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autenticazioni di copia e di firma </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formazione degli atti di stato civile (nascita, </w:t>
      </w:r>
      <w:hyperlink r:id="rId25">
        <w:r>
          <w:rPr>
            <w:rStyle w:val="ListLabel1"/>
          </w:rPr>
          <w:t>matrimonio</w:t>
        </w:r>
      </w:hyperlink>
      <w:r>
        <w:rPr>
          <w:rFonts w:eastAsia="Calibri" w:cs="Arial" w:ascii="Arial" w:hAnsi="Arial" w:eastAsiaTheme="minorHAnsi"/>
          <w:sz w:val="22"/>
          <w:szCs w:val="22"/>
          <w:lang w:eastAsia="en-US"/>
        </w:rPr>
        <w:t xml:space="preserve">, morte, cittadinanza, </w:t>
      </w:r>
      <w:hyperlink r:id="rId26">
        <w:r>
          <w:rPr>
            <w:rStyle w:val="ListLabel1"/>
          </w:rPr>
          <w:t>unioni civili</w:t>
        </w:r>
      </w:hyperlink>
      <w:r>
        <w:rPr>
          <w:rFonts w:eastAsia="Calibri" w:cs="Arial" w:ascii="Arial" w:hAnsi="Arial" w:eastAsiaTheme="minorHAnsi"/>
          <w:sz w:val="22"/>
          <w:szCs w:val="22"/>
          <w:lang w:eastAsia="en-US"/>
        </w:rPr>
        <w:t xml:space="preserve">, </w:t>
      </w:r>
      <w:hyperlink r:id="rId27">
        <w:r>
          <w:rPr>
            <w:rStyle w:val="ListLabel1"/>
          </w:rPr>
          <w:t>separazioni e divorzi</w:t>
        </w:r>
      </w:hyperlink>
      <w:r>
        <w:rPr>
          <w:rFonts w:eastAsia="Calibri" w:cs="Arial" w:ascii="Arial" w:hAnsi="Arial" w:eastAsiaTheme="minorHAnsi"/>
          <w:sz w:val="22"/>
          <w:szCs w:val="22"/>
          <w:lang w:eastAsia="en-US"/>
        </w:rPr>
        <w:t>)</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permessi di seppellimento, autorizzazioni trasporto salme, inumazioni, cremazioni, istanza unica di cremazione </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hyperlink r:id="rId28">
        <w:r>
          <w:rPr>
            <w:rStyle w:val="ListLabel1"/>
          </w:rPr>
          <w:t xml:space="preserve">disposizioni anticipate di trattamento </w:t>
        </w:r>
      </w:hyperlink>
      <w:r>
        <w:rPr>
          <w:rFonts w:eastAsia="Calibri" w:cs="Arial" w:ascii="Arial" w:hAnsi="Arial" w:eastAsiaTheme="minorHAnsi"/>
          <w:sz w:val="22"/>
          <w:szCs w:val="22"/>
          <w:lang w:eastAsia="en-US"/>
        </w:rPr>
        <w:t>(DAT)</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formazione e tenuta delle liste elettorali</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formazione e tenuta delle liste di leva</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gestione delle consultazioni elettorali (amministrativa, politiche, referendum)</w:t>
      </w:r>
    </w:p>
    <w:p>
      <w:pPr>
        <w:pStyle w:val="NormalWeb"/>
        <w:numPr>
          <w:ilvl w:val="0"/>
          <w:numId w:val="14"/>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tenuta dell'</w:t>
      </w:r>
      <w:hyperlink r:id="rId29">
        <w:r>
          <w:rPr>
            <w:rStyle w:val="ListLabel1"/>
          </w:rPr>
          <w:t>Albo dei Presidenti di seggio elettorale</w:t>
        </w:r>
      </w:hyperlink>
    </w:p>
    <w:p>
      <w:pPr>
        <w:pStyle w:val="NormalWeb"/>
        <w:numPr>
          <w:ilvl w:val="0"/>
          <w:numId w:val="14"/>
        </w:numPr>
        <w:spacing w:beforeAutospacing="0" w:before="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tenuta dell'</w:t>
      </w:r>
      <w:hyperlink r:id="rId30">
        <w:r>
          <w:rPr>
            <w:rStyle w:val="ListLabel1"/>
          </w:rPr>
          <w:t>Albo degli Scrutatori di seggio elettorale</w:t>
        </w:r>
      </w:hyperlink>
    </w:p>
    <w:p>
      <w:pPr>
        <w:pStyle w:val="NormalWeb"/>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3     Segreteria, Protocollo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L'ufficio segreteria si occupa di gestire la maggior parte degli atti dell'Ente (delibere, determinazioni, ordinanze, decreti, ecc.) e la loro conservazione. Si precisa che il comune di Marano s.P. ha aderito al Polo Archivistico Intercomunale dell’Unione Terre di Castelli. L’Archivio Storico Comunale di Marano sul Panaro è stato trasferito presso il Polo Archivistico Storico dell’Unione Terre di Castelli in via Giovanni Paolo II 96 a Vignola.</w:t>
      </w:r>
    </w:p>
    <w:p>
      <w:pPr>
        <w:pStyle w:val="NormalWeb"/>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Inoltre l’ufficio tiene i rapporti con gli amministratori e ne gestisce le agende.</w:t>
      </w:r>
    </w:p>
    <w:p>
      <w:pPr>
        <w:pStyle w:val="NormalWeb"/>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L'ufficio protocollo gestisce la corrispondenza in entrata ed in uscita. Gestisce la tenuta dell'albo pretorio on line.</w:t>
      </w:r>
    </w:p>
    <w:p>
      <w:pPr>
        <w:pStyle w:val="NormalWeb"/>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4      Ufficio Contratti</w:t>
      </w:r>
    </w:p>
    <w:p>
      <w:pPr>
        <w:pStyle w:val="NormalWeb"/>
        <w:spacing w:lineRule="exact" w:line="280"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L'ufficio contratti segue l'iter dei contratti stipulati dal comune e raccolti nel repertorio tenuto dal Segretario Comunale.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5</w:t>
        <w:tab/>
        <w:t>Volontariato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si occupa di mantenere costantemente contatti con le associazioni locali di volontariatao e di organizzare eventi ed attività con la loro collaborazione.</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6</w:t>
        <w:tab/>
        <w:t>Biblioteca</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garantisce oltre alle attività di prestito, numerose attività di promozione della lettura per adulti, ragazzi e bambini.</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7</w:t>
        <w:tab/>
        <w:t>Cultura</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organizza eventi e manifestazioni per incentivare la partecipazione dei cittadini alle diverse manifestazioni culturali ( musica, teatro, poesia, ecc.).</w:t>
      </w:r>
    </w:p>
    <w:p>
      <w:pPr>
        <w:pStyle w:val="NormalWeb"/>
        <w:spacing w:before="280" w:after="280"/>
        <w:jc w:val="both"/>
        <w:rPr>
          <w:rFonts w:ascii="Arial" w:hAnsi="Arial" w:eastAsia="Calibri" w:cs="Arial" w:eastAsiaTheme="minorHAnsi"/>
          <w:b/>
          <w:bCs/>
          <w:sz w:val="22"/>
          <w:szCs w:val="22"/>
          <w:lang w:eastAsia="en-US"/>
        </w:rPr>
      </w:pPr>
      <w:r>
        <w:rPr>
          <w:rFonts w:eastAsia="Calibri" w:cs="Arial" w:ascii="Arial" w:hAnsi="Arial" w:eastAsiaTheme="minorHAnsi"/>
          <w:b/>
          <w:bCs/>
          <w:sz w:val="22"/>
          <w:szCs w:val="22"/>
          <w:lang w:eastAsia="en-US"/>
        </w:rPr>
        <w:t>SETTORE ECONOMICO FINANZIARIO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1</w:t>
        <w:tab/>
        <w:t>Servizio Bilancio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Le funzioni del servizio bilancio possono essere così sintetizzate:</w:t>
      </w:r>
    </w:p>
    <w:p>
      <w:pPr>
        <w:pStyle w:val="NormalWeb"/>
        <w:numPr>
          <w:ilvl w:val="0"/>
          <w:numId w:val="16"/>
        </w:numPr>
        <w:spacing w:beforeAutospacing="0" w:before="28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Predisposizione e gestione contabile del bilancio annuale e pluriennale </w:t>
      </w:r>
    </w:p>
    <w:p>
      <w:pPr>
        <w:pStyle w:val="NormalWeb"/>
        <w:numPr>
          <w:ilvl w:val="0"/>
          <w:numId w:val="16"/>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Predisposizione del rendiconto della gestione e verifica degli equilibri di bilancio, nonché del bilancio consolidato </w:t>
      </w:r>
    </w:p>
    <w:p>
      <w:pPr>
        <w:pStyle w:val="NormalWeb"/>
        <w:numPr>
          <w:ilvl w:val="0"/>
          <w:numId w:val="16"/>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Gestione della cassa e rapporti con il tesoriere comunale </w:t>
      </w:r>
    </w:p>
    <w:p>
      <w:pPr>
        <w:pStyle w:val="NormalWeb"/>
        <w:numPr>
          <w:ilvl w:val="0"/>
          <w:numId w:val="16"/>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Gestione e rendicontazione finanziaria, contabile e fiscale dell’Ente </w:t>
      </w:r>
    </w:p>
    <w:p>
      <w:pPr>
        <w:pStyle w:val="NormalWeb"/>
        <w:numPr>
          <w:ilvl w:val="0"/>
          <w:numId w:val="16"/>
        </w:numPr>
        <w:spacing w:before="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Gestione dell’indebitamento e degli investimenti dell’Ente </w:t>
      </w:r>
    </w:p>
    <w:p>
      <w:pPr>
        <w:pStyle w:val="NormalWeb"/>
        <w:numPr>
          <w:ilvl w:val="0"/>
          <w:numId w:val="15"/>
        </w:numPr>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Servizio Tributi</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gestisce il recupero dell’evasione TARI e la regolamentazione della tariffa TCP.</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3</w:t>
        <w:tab/>
        <w:t>Servizio Economato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economato gestisce la cassa economale, cioè le spese minute ed urgenti di tutti i servizi del Comune.</w:t>
      </w:r>
    </w:p>
    <w:p>
      <w:pPr>
        <w:pStyle w:val="NormalWeb"/>
        <w:spacing w:before="280" w:after="280"/>
        <w:jc w:val="both"/>
        <w:rPr>
          <w:rFonts w:ascii="Arial" w:hAnsi="Arial" w:eastAsia="Calibri" w:cs="Arial" w:eastAsiaTheme="minorHAnsi"/>
          <w:b/>
          <w:bCs/>
          <w:sz w:val="22"/>
          <w:szCs w:val="22"/>
          <w:lang w:eastAsia="en-US"/>
        </w:rPr>
      </w:pPr>
      <w:r>
        <w:rPr>
          <w:rFonts w:eastAsia="Calibri" w:cs="Arial" w:ascii="Arial" w:hAnsi="Arial" w:eastAsiaTheme="minorHAnsi"/>
          <w:b/>
          <w:bCs/>
          <w:sz w:val="22"/>
          <w:szCs w:val="22"/>
          <w:lang w:eastAsia="en-US"/>
        </w:rPr>
        <w:t>UFFICIO TRIBUTI UNICO ASSOCIATO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gestisce e riscuote i seguenti tributi comunali, intendendosi per tali tutte le contribuzioni patrimoniali richieste ai cittadini per concorrere alle spese pubbliche o per fruire di servizi pubblici o di utilità generale e ritenuti privi di rilevanza economica.</w:t>
      </w:r>
    </w:p>
    <w:p>
      <w:pPr>
        <w:pStyle w:val="NormalWeb"/>
        <w:numPr>
          <w:ilvl w:val="0"/>
          <w:numId w:val="17"/>
        </w:numPr>
        <w:spacing w:beforeAutospacing="0" w:before="28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Imposta unica comunale ( IMU) </w:t>
      </w:r>
    </w:p>
    <w:p>
      <w:pPr>
        <w:pStyle w:val="NormalWeb"/>
        <w:numPr>
          <w:ilvl w:val="0"/>
          <w:numId w:val="17"/>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Canone unico patrimoniale</w:t>
      </w:r>
    </w:p>
    <w:p>
      <w:pPr>
        <w:pStyle w:val="NormalWeb"/>
        <w:numPr>
          <w:ilvl w:val="0"/>
          <w:numId w:val="17"/>
        </w:numPr>
        <w:spacing w:beforeAutospacing="0" w:before="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Addizionale comunale all'irpef</w:t>
      </w:r>
    </w:p>
    <w:p>
      <w:pPr>
        <w:pStyle w:val="NormalWeb"/>
        <w:spacing w:before="280" w:after="280"/>
        <w:jc w:val="both"/>
        <w:rPr>
          <w:rFonts w:ascii="Arial" w:hAnsi="Arial" w:eastAsia="Calibri" w:cs="Arial" w:eastAsiaTheme="minorHAnsi"/>
          <w:b/>
          <w:bCs/>
          <w:sz w:val="22"/>
          <w:szCs w:val="22"/>
          <w:lang w:eastAsia="en-US"/>
        </w:rPr>
      </w:pPr>
      <w:r>
        <w:rPr>
          <w:rFonts w:eastAsia="Calibri" w:cs="Arial" w:ascii="Arial" w:hAnsi="Arial" w:eastAsiaTheme="minorHAnsi"/>
          <w:b/>
          <w:bCs/>
          <w:sz w:val="22"/>
          <w:szCs w:val="22"/>
          <w:lang w:eastAsia="en-US"/>
        </w:rPr>
        <w:t xml:space="preserve">SETTORE LL.PP., URBANISTICA, EDILIZIA PRIVATA, AMBIENTE, COMMERCIO, ATTIVITA’ </w:t>
      </w:r>
    </w:p>
    <w:p>
      <w:pPr>
        <w:pStyle w:val="NormalWeb"/>
        <w:spacing w:before="280" w:after="280"/>
        <w:jc w:val="both"/>
        <w:rPr>
          <w:rFonts w:ascii="Arial" w:hAnsi="Arial" w:eastAsia="Calibri" w:cs="Arial" w:eastAsiaTheme="minorHAnsi"/>
          <w:b/>
          <w:bCs/>
          <w:sz w:val="22"/>
          <w:szCs w:val="22"/>
          <w:lang w:eastAsia="en-US"/>
        </w:rPr>
      </w:pPr>
      <w:r>
        <w:rPr>
          <w:rFonts w:eastAsia="Calibri" w:cs="Arial" w:ascii="Arial" w:hAnsi="Arial" w:eastAsiaTheme="minorHAnsi"/>
          <w:b/>
          <w:bCs/>
          <w:sz w:val="22"/>
          <w:szCs w:val="22"/>
          <w:lang w:eastAsia="en-US"/>
        </w:rPr>
        <w:t>PRODUTTIVE</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1</w:t>
        <w:tab/>
        <w:t>Sportello Unico per le attività produttive</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Lo Sportello Unico per le Attività Produttive (SUAP) è l’unico soggetto pubblico di riferimento territoriale per tutti i procedimenti che abbiano ad oggetto l'esercizio di attività produttive e di prestazione di servizi, e quelli relativi alle azioni di localizzazione, realizzazione, trasformazione, ristrutturazione o riconversione, ampliamento o trasferimento, nonchè cessazione o riattivazione delle suddette attività, ivi compresi quelli di cui al decreto legislativo 26 marzo 2010, n. 59 (recepimento Direttiva Servizi).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2</w:t>
        <w:tab/>
        <w:t xml:space="preserve">Servizio Commercio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gestisce le autorizzazioni ed i controlli relativi alle attività commerciali.</w:t>
      </w:r>
    </w:p>
    <w:p>
      <w:pPr>
        <w:pStyle w:val="NormalWeb"/>
        <w:spacing w:before="280" w:after="280"/>
        <w:jc w:val="both"/>
        <w:rPr>
          <w:rFonts w:ascii="Arial" w:hAnsi="Arial" w:eastAsia="Calibri" w:cs="Arial" w:eastAsiaTheme="minorHAnsi"/>
          <w:sz w:val="22"/>
          <w:szCs w:val="22"/>
          <w:lang w:eastAsia="en-US"/>
        </w:rPr>
      </w:pPr>
      <w:r>
        <w:rPr>
          <w:rFonts w:eastAsia="Calibri" w:cs="Arial" w:eastAsiaTheme="minorHAnsi" w:ascii="Arial" w:hAnsi="Arial"/>
          <w:sz w:val="22"/>
          <w:szCs w:val="22"/>
          <w:lang w:eastAsia="en-US"/>
        </w:rPr>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3</w:t>
        <w:tab/>
        <w:t>Servizio Urbanistica</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Urbanistica svolge le seguenti attività:</w:t>
      </w:r>
    </w:p>
    <w:p>
      <w:pPr>
        <w:pStyle w:val="NormalWeb"/>
        <w:numPr>
          <w:ilvl w:val="0"/>
          <w:numId w:val="18"/>
        </w:numPr>
        <w:spacing w:beforeAutospacing="0" w:before="28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Gestione del Piano Strutturale Comunale (P.S.C.) e degli strumenti di pianificazione territoriale sovraordinata (P.T.C.P., P.I.A.E. ecc..);</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Adeguamento e aggiornamento degli strumenti di pianificazione urbanistica;</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Predisposizione dei nuovi strumenti urbanistici, quaIi Piano Urbanistico Generale (PUG), </w:t>
      </w:r>
      <w:hyperlink r:id="rId31">
        <w:r>
          <w:rPr>
            <w:rStyle w:val="ListLabel1"/>
          </w:rPr>
          <w:t>Regolamento Urbanistico Edilizio</w:t>
        </w:r>
      </w:hyperlink>
      <w:r>
        <w:rPr>
          <w:rFonts w:eastAsia="Calibri" w:cs="Arial" w:ascii="Arial" w:hAnsi="Arial" w:eastAsiaTheme="minorHAnsi"/>
          <w:sz w:val="22"/>
          <w:szCs w:val="22"/>
          <w:lang w:eastAsia="en-US"/>
        </w:rPr>
        <w:t xml:space="preserve"> (R.U.E.) ai sensi della L.R. 24/2017 e Zonizzazione acustica;</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Gestione della cartografia del territorio comunale in formato digitale; </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Gestione dei piani urbanistici attuativi di iniziativa privata e di iniziativa pubblica, quali Piani Particolareggiati per insediamenti residenziali e produttivi (P.P.), Piani di Recupero (P.D.R.), Piani di Sviluppo Aziendale (P.S.A.);</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Rilascio dei pareri di conformità urbanistica;</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Rilascio dei certificati di destinazione urbanistica;</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Aggiornamento e attuazione degli strumenti di pianificazione delle attività estrattive;</w:t>
      </w:r>
    </w:p>
    <w:p>
      <w:pPr>
        <w:pStyle w:val="NormalWeb"/>
        <w:numPr>
          <w:ilvl w:val="0"/>
          <w:numId w:val="18"/>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Rilascio autorizzazioni attività estrattiva;</w:t>
      </w:r>
    </w:p>
    <w:p>
      <w:pPr>
        <w:pStyle w:val="NormalWeb"/>
        <w:numPr>
          <w:ilvl w:val="0"/>
          <w:numId w:val="18"/>
        </w:numPr>
        <w:spacing w:beforeAutospacing="0" w:before="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Assunzione in carico di opere di urbanizzazione.</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Per quanto riguarda le pratiche inerenti la Sismica, queste vengono seguite dall'</w:t>
      </w:r>
      <w:hyperlink r:id="rId32">
        <w:r>
          <w:rPr>
            <w:rStyle w:val="ListLabel1"/>
          </w:rPr>
          <w:t>Ufficio Sismica Terre di Castelli</w:t>
        </w:r>
      </w:hyperlink>
      <w:r>
        <w:rPr>
          <w:rFonts w:eastAsia="Calibri" w:cs="Arial" w:ascii="Arial" w:hAnsi="Arial" w:eastAsiaTheme="minorHAnsi"/>
          <w:sz w:val="22"/>
          <w:szCs w:val="22"/>
          <w:lang w:eastAsia="en-US"/>
        </w:rPr>
        <w:t xml:space="preserve">. Per quanto riguarda la modulistica per le pratiche inerenti i Servizi Hera, è possibile trovare quanto necessario al sito </w:t>
      </w:r>
      <w:hyperlink r:id="rId33">
        <w:r>
          <w:rPr>
            <w:rStyle w:val="ListLabel1"/>
          </w:rPr>
          <w:t>www.gruppohera.it</w:t>
        </w:r>
      </w:hyperlink>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4</w:t>
        <w:tab/>
        <w:t xml:space="preserve">Servizio Edilizia Privata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Il Servizio Edilizia Privata si occupa delle autorizzazioni inerenti tutte le trasformazioni edilizie del territorio: permesso di costruire, denuncia di inizio attività, certificato di conformità edilizia e agibilità, autorizzazione insegne e manufatti pubblicitari, (autorizzazioni passi carrai, autorizzazioni per ascensori,) deposito denunce opere in C.A. (DPR n. 380/01).Provvede inoltre ad effettuare un servizio di consulenza esprimendosi sulle valutazioni preventive, che possono essere richieste prima della presentazione di un permesso di costruire o di una denuncia di inizio attività. Il Servizio si occupa anche della gestione e del controllo delle attività estrattive.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5</w:t>
        <w:tab/>
        <w:t>Servizio Ambiente</w:t>
      </w:r>
    </w:p>
    <w:p>
      <w:pPr>
        <w:pStyle w:val="NormalWeb"/>
        <w:numPr>
          <w:ilvl w:val="0"/>
          <w:numId w:val="19"/>
        </w:numPr>
        <w:spacing w:beforeAutospacing="0" w:before="28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isola Ecologica: </w:t>
      </w:r>
      <w:hyperlink r:id="rId34">
        <w:r>
          <w:rPr>
            <w:rStyle w:val="ListLabel1"/>
          </w:rPr>
          <w:t>orari e altre informazioni utili</w:t>
        </w:r>
      </w:hyperlink>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gestione rapporti con HERA </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bonifiche siti contaminati e microdiscariche su suolo pubblico </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Inquinamento atmosferico e acustico:</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gestione e controlli gas di scarico </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zonizzazione acustica </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inquinamento elettromagnetico </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normativa sul rumore: inquinamento ed autorizzazioni in deroga </w:t>
      </w:r>
    </w:p>
    <w:p>
      <w:pPr>
        <w:pStyle w:val="NormalWeb"/>
        <w:numPr>
          <w:ilvl w:val="0"/>
          <w:numId w:val="19"/>
        </w:numPr>
        <w:spacing w:beforeAutospacing="0" w:before="0" w:afterAutospacing="0" w:after="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attività Produttive</w:t>
      </w:r>
    </w:p>
    <w:p>
      <w:pPr>
        <w:pStyle w:val="NormalWeb"/>
        <w:numPr>
          <w:ilvl w:val="0"/>
          <w:numId w:val="19"/>
        </w:numPr>
        <w:spacing w:beforeAutospacing="0" w:before="0" w:afterAutospacing="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autorizzazioni allo scarico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6</w:t>
        <w:tab/>
        <w:t>Servizio Manutenzioni</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Vengono gestite la progettazione e l’esecuzione delle opere pubbliche, ai sensi di quanto stabilito dalla normativa di riferimento (codice dei contratti e degli appalti pubblici) e dai regolamenti in materia, nonché tutte le manutenzioni ordinarie e straordinarie degli immobili comunali.</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7</w:t>
        <w:tab/>
        <w:t>Servizio Patrimonio</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patrimonio si occupa della gestione amministrativa degli immobili di proprietà comunale: acquisto, vendita, locazione, comodato, concessioni e convenzioni. Inoltre cura la gestione del patrimonio disponibile del Comune, costituito dagli immobili da reddito che il Comune possiede a titolo privatistico (abitazioni, unità ad uso commerciale, ecc.), seguendo dapprima la fase relativa all’assegnazione del bene e quindi quella della gestione vera e propria.</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Cura la gestione degli immobili compresi nel demanio comunale e nel patrimonio indisponibile temporaneamente sottratti all’uso da parte della generalità dei cittadini (beni monumentali dati in concessione, porzioni d’edifici pubblici non utilizzate a fini istituzionali, ecc.);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 xml:space="preserve">Si occupa delle acquisizioni e delle vendite di immobili in via bonaria, aree PEEP, allargamenti stradali, ecc. - e delle acquisizioni effettuate con procedura espropriativa per pubblica utilità. </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8</w:t>
        <w:tab/>
        <w:t>Servizio Cimiteri</w:t>
      </w:r>
    </w:p>
    <w:p>
      <w:pPr>
        <w:pStyle w:val="NormalWeb"/>
        <w:spacing w:before="280" w:after="280"/>
        <w:jc w:val="both"/>
        <w:rPr>
          <w:rFonts w:ascii="Arial" w:hAnsi="Arial" w:eastAsia="Calibri" w:cs="Arial" w:eastAsiaTheme="minorHAnsi"/>
          <w:sz w:val="22"/>
          <w:szCs w:val="22"/>
          <w:lang w:eastAsia="en-US"/>
        </w:rPr>
      </w:pPr>
      <w:r>
        <w:rPr>
          <w:rFonts w:eastAsia="Calibri" w:cs="Arial" w:ascii="Arial" w:hAnsi="Arial" w:eastAsiaTheme="minorHAnsi"/>
          <w:sz w:val="22"/>
          <w:szCs w:val="22"/>
          <w:lang w:eastAsia="en-US"/>
        </w:rPr>
        <w:t>Il Servizio si occupa principalmente di concessioni cimiteriali, che comprendono l'iter per la vendita di loculi, ossari, ecc., nonché della gestione di tutti i servizi cimiteriali.</w:t>
      </w:r>
    </w:p>
    <w:p>
      <w:pPr>
        <w:pStyle w:val="Normal"/>
        <w:jc w:val="both"/>
        <w:rPr>
          <w:rFonts w:ascii="Arial" w:hAnsi="Arial" w:eastAsia="" w:cs="Arial" w:eastAsiaTheme="majorEastAsia"/>
          <w:color w:themeColor="accent1" w:themeShade="bf" w:val="2F5496"/>
        </w:rPr>
      </w:pPr>
      <w:r>
        <w:rPr>
          <w:rFonts w:eastAsia="" w:cs="Arial" w:eastAsiaTheme="majorEastAsia" w:ascii="Arial" w:hAnsi="Arial"/>
          <w:color w:themeColor="accent1" w:themeShade="bf" w:val="2F5496"/>
        </w:rPr>
      </w:r>
    </w:p>
    <w:p>
      <w:pPr>
        <w:pStyle w:val="Normal"/>
        <w:rPr>
          <w:rFonts w:ascii="Arial" w:hAnsi="Arial" w:cs="Arial"/>
          <w:sz w:val="22"/>
          <w:szCs w:val="22"/>
        </w:rPr>
      </w:pPr>
      <w:r>
        <w:rPr>
          <w:rFonts w:cs="Arial" w:ascii="Arial" w:hAnsi="Arial"/>
          <w:sz w:val="22"/>
          <w:szCs w:val="22"/>
        </w:rPr>
        <w:t>9   Servizio Sport</w:t>
      </w:r>
    </w:p>
    <w:p>
      <w:pPr>
        <w:pStyle w:val="Normal"/>
        <w:rPr>
          <w:rFonts w:ascii="Arial" w:hAnsi="Arial" w:eastAsia="" w:cs="Arial" w:eastAsiaTheme="majorEastAsia"/>
          <w:color w:themeColor="accent1" w:themeShade="bf" w:val="2F5496"/>
          <w:sz w:val="22"/>
          <w:szCs w:val="22"/>
        </w:rPr>
      </w:pPr>
      <w:r>
        <w:rPr>
          <w:rFonts w:cs="Arial" w:ascii="Arial" w:hAnsi="Arial"/>
          <w:sz w:val="22"/>
          <w:szCs w:val="22"/>
        </w:rPr>
        <w:t>Il Servizio si occupa della gestione degli impianti sportivi (affidati mediante concessione di servizi ad ASD del territorio) e della loro manutenzione straordinaria.</w:t>
      </w:r>
      <w:r>
        <w:br w:type="page"/>
      </w:r>
    </w:p>
    <w:p>
      <w:pPr>
        <w:pStyle w:val="Titolo21"/>
        <w:numPr>
          <w:ilvl w:val="1"/>
          <w:numId w:val="20"/>
        </w:numPr>
        <w:spacing w:lineRule="exact" w:line="280" w:before="0" w:after="0"/>
        <w:rPr/>
      </w:pPr>
      <w:bookmarkStart w:id="23" w:name="_Toc188008163"/>
      <w:r>
        <w:rPr/>
        <w:t>Sottosezione: Organizzazione del Lavoro Agile</w:t>
      </w:r>
      <w:bookmarkEnd w:id="23"/>
    </w:p>
    <w:p>
      <w:pPr>
        <w:pStyle w:val="Normal"/>
        <w:spacing w:lineRule="exact" w:line="260" w:before="240" w:after="0"/>
        <w:jc w:val="both"/>
        <w:rPr>
          <w:rFonts w:ascii="Arial" w:hAnsi="Arial" w:cs="Arial"/>
          <w:sz w:val="22"/>
          <w:szCs w:val="22"/>
        </w:rPr>
      </w:pPr>
      <w:r>
        <w:rPr>
          <w:rFonts w:cs="Arial" w:ascii="Arial" w:hAnsi="Arial"/>
          <w:sz w:val="22"/>
          <w:szCs w:val="22"/>
        </w:rPr>
        <w:t xml:space="preserve">In questa sottosezione sono indicati, in coerenza con le Linee Guida emanate dal Dipartimento della Funzione Pubblica e con il contratto nazionale, la strategia, le modalità organizzative e gli strumenti tecnologici che permettono l’attuazione del lavoro agile all’interno dell’ente.  Il lavoro agile, introdotto dall’articolo 18, comma 1, della legge 22 maggio 2017, n. 81, è una modalità di lavoro che, attraverso lo sfruttamento della flessibilità spaziale e temporale e favorendo l’orientamento ai risultati, si pone l’obiettivo di conciliare le esigenze delle lavoratrici e dei lavoratori con le esigenze organizzative delle pubbliche amministrazioni, consentendo ad un tempo il miglioramento dei servizi pubblici e dell’equilibrio fra vita professionale e vita privata.   </w:t>
      </w:r>
    </w:p>
    <w:p>
      <w:pPr>
        <w:pStyle w:val="Normal"/>
        <w:spacing w:lineRule="exact" w:line="260" w:before="240" w:after="0"/>
        <w:jc w:val="both"/>
        <w:rPr>
          <w:rFonts w:ascii="Arial" w:hAnsi="Arial" w:cs="Arial"/>
          <w:sz w:val="22"/>
          <w:szCs w:val="22"/>
        </w:rPr>
      </w:pPr>
      <w:r>
        <w:rPr>
          <w:rFonts w:cs="Arial" w:ascii="Arial" w:hAnsi="Arial"/>
          <w:sz w:val="22"/>
          <w:szCs w:val="22"/>
        </w:rPr>
        <w:t>Si rammenta che con deliberazione di Giunta Comunale n. 24 del 18/03/2021 il Comune aveva approvato il Piano Organizzativo del Lavoro Agile POLA per il periodo 2022-2024, di cui già ne precedente Piao venivano riportati i principali contenuti, funzionali a comprendere come l’Ente ha gestito la fase emergenziale, ad oggi superata.  Tale Piano era organizzato secondo un modello che prevedeva</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PARTE 1 -LIVELLO DI ATTUAZIONE E SVILUPPO</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PARTE 2 - MODALITA’ ATTUATIVE</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 xml:space="preserve">2.1 ALLEGATO 1 - Mappatura delle attività che possono essere svolte in modalità di lavoro agile </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2.2 ALLEGATO 2 – PIANO FORMATIVO PER IL TEAM DIREZIONALE</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 xml:space="preserve">2.3 ALLEGATO 3 PIANO FORMATIVO PER I DIPENDENTI </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PARTE 3 - SOGGETTI, PROCESSI E STRUMENTI DEL LAVORO AGILE</w:t>
      </w:r>
    </w:p>
    <w:p>
      <w:pPr>
        <w:pStyle w:val="ListParagraph"/>
        <w:numPr>
          <w:ilvl w:val="0"/>
          <w:numId w:val="28"/>
        </w:numPr>
        <w:spacing w:lineRule="exact" w:line="260" w:before="120" w:after="200"/>
        <w:contextualSpacing/>
        <w:jc w:val="both"/>
        <w:rPr>
          <w:rFonts w:ascii="Arial" w:hAnsi="Arial" w:cs="Arial"/>
          <w:sz w:val="22"/>
          <w:szCs w:val="22"/>
        </w:rPr>
      </w:pPr>
      <w:r>
        <w:rPr>
          <w:rFonts w:cs="Arial" w:ascii="Arial" w:hAnsi="Arial"/>
          <w:sz w:val="22"/>
          <w:szCs w:val="22"/>
        </w:rPr>
        <w:t>PARTE 4 - PROGRAMMA DI SVILUPPO DEL LAVORO AGILE</w:t>
      </w:r>
    </w:p>
    <w:p>
      <w:pPr>
        <w:pStyle w:val="Normal"/>
        <w:jc w:val="both"/>
        <w:rPr>
          <w:rFonts w:ascii="Arial" w:hAnsi="Arial"/>
          <w:sz w:val="22"/>
          <w:szCs w:val="22"/>
        </w:rPr>
      </w:pPr>
      <w:r>
        <w:rPr>
          <w:rFonts w:ascii="Arial" w:hAnsi="Arial"/>
          <w:sz w:val="22"/>
          <w:szCs w:val="22"/>
        </w:rPr>
        <w:t>Nel Comune di Marano s.P., lo strumento del lavoro agile era stato avviato in modo significativo in coincidenza con l'avvio dello stato di emergenza pandemica coinvolgendo nr. 10 dei 17 dipendenti dell’ente, essendo i 3 restanti dipendenti impegnati in attività che non permettevano tale modalità di espletamento del lavoro.</w:t>
      </w:r>
    </w:p>
    <w:p>
      <w:pPr>
        <w:pStyle w:val="Normal"/>
        <w:suppressAutoHyphens w:val="false"/>
        <w:ind w:left="409"/>
        <w:rPr>
          <w:rFonts w:ascii="Arial" w:hAnsi="Arial" w:eastAsia="Times New Roman" w:cs="Arial"/>
          <w:b/>
          <w:sz w:val="22"/>
          <w:szCs w:val="22"/>
          <w:lang w:eastAsia="it-IT"/>
        </w:rPr>
      </w:pPr>
      <w:r>
        <w:rPr>
          <w:rFonts w:eastAsia="Times New Roman" w:cs="Arial" w:ascii="Arial" w:hAnsi="Arial"/>
          <w:b/>
          <w:sz w:val="22"/>
          <w:szCs w:val="22"/>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Le modalità organizzative e le tecnologie nella fase emergenziale erano state le seguenti:</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 per alcuni applicativi web ad esclusione della e-mail erano già attivi dei reverse-proxy ssl con autenticazione; per tutti è stata comunque implementata la modalità di accesso Remote Desktop con profilo personalizzato al proprio PC ufficio attraverso VPN-SSL 512 RAS per tutti i comuni aderenti;</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 la modalità di attivazione adottata era stata quello di inviare all’utente precedentemente autorizzato dal proprio responsabile, una documentazione dettagliata e puntuale di tutto quanto necessario per la predisposizione sia del pc dell’ufficio che di quello di casa, completa di indicazioni puntuali per lo scarico da uno user portale del proprio certificato-vpn e per l’installazione dello stesso sul proprio pc, e poi infine le operazioni quotidiane di collegamento. In aggiunta sono state diramate le istruzioni supplementari per MAC o LINUX e per l’attivazione della firma digitale da remoto. Tutto gestito da due UTM 9 -Sophos in HA e da una connettività Lepida messa a dura prova in quanto concentrata sul PAL di Vignola;</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 per la telefonia era stata attivata la deviazione su richiesta degli interni verso l'utenza mobile indicata dal dipendente (aziendale o propria in alcuni casi), in attesa dell’implementazione del centralino virtuale.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Tutta l’operazione era stata svolta internamente dal Servizio sistemi informativi; l'assistenza help desk è avvenuta e tuttora avviene per l’attività ordinaria da remoto via Supremo con la gestione dei ticket solitamente in uso.</w:t>
      </w:r>
    </w:p>
    <w:p>
      <w:pPr>
        <w:pStyle w:val="Normal"/>
        <w:suppressAutoHyphens w:val="false"/>
        <w:spacing w:lineRule="atLeast" w:line="26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spacing w:lineRule="atLeast" w:line="260"/>
        <w:jc w:val="both"/>
        <w:rPr>
          <w:rFonts w:ascii="Arial" w:hAnsi="Arial" w:eastAsia="Times New Roman" w:cs="Arial"/>
          <w:sz w:val="22"/>
          <w:szCs w:val="22"/>
          <w:lang w:eastAsia="it-IT"/>
        </w:rPr>
      </w:pPr>
      <w:r>
        <w:rPr>
          <w:rFonts w:eastAsia="Times New Roman" w:cs="Arial" w:ascii="Arial" w:hAnsi="Arial"/>
          <w:sz w:val="22"/>
          <w:szCs w:val="22"/>
          <w:lang w:eastAsia="it-IT"/>
        </w:rPr>
        <w:t>A seguito del rientro in presenza di tutto il personale (decreto 8.10.2021 il Dipartimento della Funzione Pubblica), la Giunta dell’Unione Terre di Castelli, nel rispetto della disciplina contenuta nel CCNL/2022, ha adottato</w:t>
      </w:r>
    </w:p>
    <w:p>
      <w:pPr>
        <w:pStyle w:val="Normal"/>
        <w:numPr>
          <w:ilvl w:val="0"/>
          <w:numId w:val="31"/>
        </w:numPr>
        <w:suppressAutoHyphens w:val="false"/>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prima, in via temporanea, il documento denominato “LAVORO A DISTANZA AI SENSI DEL CCNL COMPARTO FUNZIONI LOCALI DEL 16/11/2022: INDIRIZZI AGLI ENTI DELL’AREA DELL’UNIONE TERRE DI CASTELLI” pubblicato nella G.U. n. 162 del 22/12/2022, previa sottoscrizione di specifico Accordo da stipulare tra il Dirigente/Responsabile competente ed il lavoratore, secondo gli schemi allegati alla suddetta deliberazione, a cui si rinvia. L’accordo sottoscritto tra le parti (dirigente/responsabile competente e lavoratore) dovrà essere protocollato, consegnato al dipendente e trasmesso con pec al Servizio Risorse Umane dell’Unione Terre di Castelli per la conservazione nel fascicolo del personale e per gli adempimenti correlati di competenza.</w:t>
      </w:r>
    </w:p>
    <w:p>
      <w:pPr>
        <w:pStyle w:val="Normal"/>
        <w:numPr>
          <w:ilvl w:val="0"/>
          <w:numId w:val="31"/>
        </w:numPr>
        <w:suppressAutoHyphens w:val="false"/>
        <w:jc w:val="both"/>
        <w:textAlignment w:val="baseline"/>
        <w:rPr>
          <w:rFonts w:ascii="Arial" w:hAnsi="Arial" w:eastAsia="Times New Roman" w:cs="Arial"/>
          <w:sz w:val="22"/>
          <w:szCs w:val="22"/>
          <w:lang w:eastAsia="it-IT"/>
        </w:rPr>
      </w:pPr>
      <w:r>
        <w:rPr>
          <w:rFonts w:eastAsia="Times New Roman" w:cs="Arial" w:ascii="Arial" w:hAnsi="Arial"/>
          <w:sz w:val="22"/>
          <w:szCs w:val="22"/>
          <w:lang w:eastAsia="it-IT"/>
        </w:rPr>
        <w:t xml:space="preserve">a seguire, con </w:t>
      </w:r>
      <w:r>
        <w:rPr>
          <w:rFonts w:eastAsia="Times New Roman" w:cs="Arial" w:ascii="Arial" w:hAnsi="Arial"/>
          <w:sz w:val="22"/>
          <w:szCs w:val="22"/>
          <w:u w:val="single"/>
          <w:lang w:eastAsia="it-IT"/>
        </w:rPr>
        <w:t>deliberazione n. 32 del 6 aprile 2023</w:t>
      </w:r>
      <w:r>
        <w:rPr>
          <w:rFonts w:eastAsia="Times New Roman" w:cs="Arial" w:ascii="Arial" w:hAnsi="Arial"/>
          <w:sz w:val="22"/>
          <w:szCs w:val="22"/>
          <w:lang w:eastAsia="it-IT"/>
        </w:rPr>
        <w:t xml:space="preserve"> ha approvato in via definitiva, previo confronto sindacale, il </w:t>
      </w:r>
      <w:r>
        <w:rPr>
          <w:rFonts w:eastAsia="Times New Roman" w:cs="Arial" w:ascii="Arial" w:hAnsi="Arial"/>
          <w:b/>
          <w:bCs/>
          <w:sz w:val="22"/>
          <w:szCs w:val="22"/>
          <w:lang w:eastAsia="it-IT"/>
        </w:rPr>
        <w:t>REGOLAMENTO PER LA DISCIPLINA DEL LAVORO A DISTANZA</w:t>
      </w:r>
      <w:r>
        <w:rPr>
          <w:rFonts w:eastAsia="Times New Roman" w:cs="Arial" w:ascii="Arial" w:hAnsi="Arial"/>
          <w:sz w:val="22"/>
          <w:szCs w:val="22"/>
          <w:lang w:eastAsia="it-IT"/>
        </w:rPr>
        <w:t xml:space="preserve"> che nel rispetto di tutto quanto disposto dal CCNL, disciplina sia il lavoro agile che il lavoro da remoto in modo omogeneo per gli enti dell’area dell’Unione Terre di Castelli. A tale disciplina è stata data quindi pronta attuazione anche presso il Comune di Zocca.</w:t>
      </w:r>
    </w:p>
    <w:p>
      <w:pPr>
        <w:pStyle w:val="Normal"/>
        <w:suppressAutoHyphens w:val="false"/>
        <w:jc w:val="both"/>
        <w:rPr>
          <w:rFonts w:ascii="Times New Roman" w:hAnsi="Times New Roman" w:eastAsia="Times New Roman"/>
          <w:lang w:eastAsia="it-IT"/>
        </w:rPr>
      </w:pPr>
      <w:r>
        <w:rPr>
          <w:rFonts w:eastAsia="Times New Roman" w:ascii="Times New Roman" w:hAnsi="Times New Roman"/>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Il suddetto Regolamento prevede, in ogni caso il lavoro a distanza (lavoro agile o da remoto) la preliminare sottoscrizione di specifico Accordo, definendo le seguenti tipologie: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1) il lavoro agile, che consiste nell’esecuzione su base volontaria di processi e attività di lavoro per i quali sussistano i necessari requisiti organizzativi e tecnologici per operare con tale modalità;</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2) il lavoro da remoto, che è una modalità di esecuzione della prestazione lavorativa con vincolo di</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orario e di luogo, avente ad oggetto attività ove è richiesto un presidio costante del processo e ove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sussistono i requisiti tecnologici che consentono la continua operatività ed il costante accesso alle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 xml:space="preserve">procedure di lavoro ed ai sistemi informativi, oltreché affidabili controlli automatizzati sul rispetto </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degli obblighi derivanti dalle disposizioni in materia di orario di lavoro.</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Stabilisce altresì le condizioni generali per lo svolgimento della prestazione lavorativa in modalità agile o da remoto e prevede che, relativamente al lavoro agile, possano essere previste nell’accordo individuale, di norma, fino ad un massimo di 8 giornate non continuative mensili per il personale a tempo pieno, da riproporzionare in caso di articolazioni a tempo parziale verticale, e non cumulabili per i mesi successivi, mentre per le figure apicali dell’ Ente le giornate di lavoro agile fruibili su base mensile non possono essere superiori a 4. Deve essere in ogni caso garantita per ciascun lavoratore la prevalenza delle giornate di lavoro in presenza sulle giornate in lavoro agile. A tal fine il lavoro in presenza è inteso come presenza effettiva in servizio presso l’ufficio di assegnazione, rilevata mediante timbrature automatiche, al netto delle eventuali assenze giornaliere consentite dalla disciplina contrattuale o dalla normativa vigente. Le giornate in lavoro agile non possono essere autorizzate nei giorni immediatamente antecedenti o successivi a periodi di ferie o congedi di almeno n. 5 giorni consecutivi.</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La prestazione lavorativa in modalità agile può essere articolata nelle seguenti fasce temporali:</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a) fascia di contattabilità - nella quale il lavoratore è contattabile sia telefonicamente che via mail</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o con altre modalità similari. Tale fascia oraria non può essere superiore all’orario medio giornaliero di   lavoro ed è articolata anche in modo funzionale a garantire le esigenze di conciliazione vita- lavoro del dipendente;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b) fascia di inoperabilità - nella quale il lavoratore non può erogare alcuna prestazione lavorativa.</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Tale fascia comprende il periodo di 11 ore di riposo consecutivo di cui all’art. 29, comma 6, del</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CCNL 16/11/2022 a cui il lavoratore è tenuto nonché il periodo di lavoro notturno tra le ore 22:00</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e le ore 6:00 del giorno successivo. Nelle fasce di contattabilità, il lavoratore può richiedere, ove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ne ricorrano i relativi presupposti, la fruizione dei permessi orari previsti dai contratti collettivi o</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dalle norme di legge.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Relativamente al lavoro da remoto, nell’accordo, può essere previsto massimo 1 giorno a settimana, salvo specifici casi da valutarsi a cura del Responsabile dove è possibile portare a max</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2 giorni, per il personale a tempo pieno, da riproporzionare in caso di articolazioni a tempo parziale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 xml:space="preserve">verticale, e non cumulabili per i mesi successivi, mentre per le figure apicali degli Enti le giornate di lavoro da remoto fruibili su base settimanale non possono essere superiori a 1 giorno I dipendenti che svolgono la loro prestazione in modalità da remoto hanno diritto all’assegnazione del buono pasto. Per i dipendenti che svolgono la loro prestazione in modalità da remoto non è previsto il riconoscimento di prestazioni straordinarie, aggiuntive, notturne e festive, salvo impreviste e sopravvenute esigenze di servizio e previa specifica autorizzazione preventiva. </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Resta inteso che il lavoro a distanza deve in ogni caso essere autorizzato, previa stipula di accordo, qualora il Medico incaricato ai sensi del D.Lgs 81/2008 e ss. mm. e ii. prescriva al lavoratore tale modalità di svolgimento della prestazione lavorativa; l’accordo da stipulare con il lavoratore, in tali casi, avrà durata corrispondente al periodo di validità del certificato rilasciato dal Medico competente; gli indirizzi di cui ai punti precedenti della presente deliberazione non si applicano quindi, se non per quanto compatibili, ai casi di esplicita prescrizione di lavoro a distanza</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formulata dal Medico competente incaricato per l’area dell’Unione Terre di Castelli, dovendosi necessariamente dare attuazione alla prescrizione medica.</w:t>
      </w:r>
    </w:p>
    <w:p>
      <w:pPr>
        <w:pStyle w:val="Normal"/>
        <w:suppressAutoHyphens w:val="false"/>
        <w:jc w:val="both"/>
        <w:rPr>
          <w:rFonts w:ascii="Times New Roman" w:hAnsi="Times New Roman" w:eastAsia="Times New Roman"/>
          <w:lang w:eastAsia="it-IT"/>
        </w:rPr>
      </w:pPr>
      <w:r>
        <w:rPr>
          <w:rFonts w:eastAsia="Times New Roman" w:ascii="Times New Roman" w:hAnsi="Times New Roman"/>
          <w:lang w:eastAsia="it-IT"/>
        </w:rPr>
      </w:r>
    </w:p>
    <w:p>
      <w:pPr>
        <w:pStyle w:val="Normal"/>
        <w:suppressAutoHyphens w:val="false"/>
        <w:jc w:val="both"/>
        <w:rPr>
          <w:rFonts w:ascii="Arial" w:hAnsi="Arial" w:eastAsia="Times New Roman" w:cs="Arial"/>
          <w:sz w:val="22"/>
          <w:szCs w:val="22"/>
          <w:lang w:eastAsia="it-IT"/>
        </w:rPr>
      </w:pPr>
      <w:r>
        <w:rPr>
          <w:rFonts w:eastAsia="Times New Roman" w:cs="Arial" w:ascii="Arial" w:hAnsi="Arial"/>
          <w:b/>
          <w:bCs/>
          <w:sz w:val="22"/>
          <w:szCs w:val="22"/>
          <w:lang w:eastAsia="it-IT"/>
        </w:rPr>
        <w:t>Misure organizzative</w:t>
      </w:r>
    </w:p>
    <w:p>
      <w:pPr>
        <w:pStyle w:val="Normal"/>
        <w:suppressAutoHyphens w:val="false"/>
        <w:jc w:val="both"/>
        <w:rPr>
          <w:rFonts w:ascii="Arial" w:hAnsi="Arial" w:eastAsia="Times New Roman" w:cs="Arial"/>
          <w:sz w:val="22"/>
          <w:szCs w:val="22"/>
          <w:lang w:eastAsia="it-IT"/>
        </w:rPr>
      </w:pPr>
      <w:r>
        <w:rPr>
          <w:rFonts w:eastAsia="Times New Roman" w:cs="Arial" w:ascii="Arial" w:hAnsi="Arial"/>
          <w:sz w:val="22"/>
          <w:szCs w:val="22"/>
          <w:lang w:eastAsia="it-IT"/>
        </w:rPr>
        <w:t>Allo stato attuale, l’ente ritiene di fare limitato ricorso al lavoro agile in considerazione dei seguenti vincoli organizzativi:</w:t>
      </w:r>
    </w:p>
    <w:p>
      <w:pPr>
        <w:pStyle w:val="ListParagraph"/>
        <w:numPr>
          <w:ilvl w:val="0"/>
          <w:numId w:val="32"/>
        </w:numPr>
        <w:suppressAutoHyphens w:val="false"/>
        <w:spacing w:before="0" w:after="0"/>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 xml:space="preserve">risorse umane limitate dalla necessità di osservare i vincoli alla spesa pubblica; </w:t>
      </w:r>
    </w:p>
    <w:p>
      <w:pPr>
        <w:pStyle w:val="ListParagraph"/>
        <w:numPr>
          <w:ilvl w:val="0"/>
          <w:numId w:val="32"/>
        </w:numPr>
        <w:suppressAutoHyphens w:val="false"/>
        <w:spacing w:before="0" w:after="0"/>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articolazione di uffici e servizi in poche unità minime alle quali sono assegnati compiti e funzioni integrate, omogenee ma comunque plurime. Questa organizzazione, inevitabile in un contesto caratterizzato da un numero contenuto di persone rispetto alla pluralità di attività e procedimenti, determina la presenza di pochi uffici realmente specializzati nell’esecuzione di un solo tipo di compito o di progetto, tale da poter essere condotto anche al di fuori del luogo di lavoro;</w:t>
      </w:r>
    </w:p>
    <w:p>
      <w:pPr>
        <w:pStyle w:val="ListParagraph"/>
        <w:numPr>
          <w:ilvl w:val="0"/>
          <w:numId w:val="32"/>
        </w:numPr>
        <w:suppressAutoHyphens w:val="false"/>
        <w:spacing w:before="0" w:after="0"/>
        <w:contextualSpacing/>
        <w:jc w:val="both"/>
        <w:rPr>
          <w:rFonts w:ascii="Arial" w:hAnsi="Arial" w:eastAsia="Times New Roman" w:cs="Arial"/>
          <w:sz w:val="22"/>
          <w:szCs w:val="22"/>
          <w:lang w:eastAsia="it-IT"/>
        </w:rPr>
      </w:pPr>
      <w:r>
        <w:rPr>
          <w:rFonts w:eastAsia="Times New Roman" w:cs="Arial" w:ascii="Arial" w:hAnsi="Arial"/>
          <w:sz w:val="22"/>
          <w:szCs w:val="22"/>
          <w:lang w:eastAsia="it-IT"/>
        </w:rPr>
        <w:t>necessità di garantire il servizio al pubblico a diretto contatto con l’utenza, soprattutto quella che fa minor ricorso alla tecnologia digitale ed informatica.</w:t>
      </w:r>
    </w:p>
    <w:p>
      <w:pPr>
        <w:pStyle w:val="Normal"/>
        <w:suppressAutoHyphens w:val="false"/>
        <w:ind w:left="360"/>
        <w:jc w:val="both"/>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 xml:space="preserve">Tuttavia resta la necessità per casi specifici e la possibilità in generale, di ricorrere al lavoro da remoto e al lavoro agile come strumento di conciliazione del tempo di vita e lavoro e delle esigenze familiari.  </w:t>
      </w:r>
    </w:p>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rPr>
          <w:rFonts w:ascii="Arial" w:hAnsi="Arial" w:eastAsia="Times New Roman" w:cs="Arial"/>
          <w:sz w:val="22"/>
          <w:szCs w:val="22"/>
          <w:highlight w:val="yellow"/>
          <w:lang w:eastAsia="it-IT"/>
        </w:rPr>
      </w:pPr>
      <w:r>
        <w:rPr>
          <w:rFonts w:eastAsia="Times New Roman" w:cs="Arial" w:ascii="Arial" w:hAnsi="Arial"/>
          <w:sz w:val="22"/>
          <w:szCs w:val="22"/>
          <w:lang w:eastAsia="it-IT"/>
        </w:rPr>
        <w:t xml:space="preserve">Per il triennio 2025/2027, in particolare per l’anno 2026, l’Ente può formulare la seguente previsione di ricorso al lavoro agile e/o al lavoro da remoto: </w:t>
      </w:r>
    </w:p>
    <w:p>
      <w:pPr>
        <w:pStyle w:val="Normal"/>
        <w:suppressAutoHyphens w:val="false"/>
        <w:rPr>
          <w:rFonts w:ascii="Arial" w:hAnsi="Arial" w:eastAsia="Times New Roman" w:cs="Arial"/>
          <w:sz w:val="22"/>
          <w:szCs w:val="22"/>
          <w:highlight w:val="yellow"/>
          <w:lang w:eastAsia="it-IT"/>
        </w:rPr>
      </w:pPr>
      <w:r>
        <w:rPr>
          <w:rFonts w:eastAsia="Times New Roman" w:cs="Arial" w:ascii="Arial" w:hAnsi="Arial"/>
          <w:sz w:val="22"/>
          <w:szCs w:val="22"/>
          <w:highlight w:val="yellow"/>
          <w:lang w:eastAsia="it-IT"/>
        </w:rPr>
      </w:r>
    </w:p>
    <w:tbl>
      <w:tblPr>
        <w:tblW w:w="9778" w:type="dxa"/>
        <w:jc w:val="left"/>
        <w:tblInd w:w="226" w:type="dxa"/>
        <w:tblLayout w:type="fixed"/>
        <w:tblCellMar>
          <w:top w:w="0" w:type="dxa"/>
          <w:left w:w="108" w:type="dxa"/>
          <w:bottom w:w="0" w:type="dxa"/>
          <w:right w:w="108" w:type="dxa"/>
        </w:tblCellMar>
        <w:tblLook w:val="04a0"/>
      </w:tblPr>
      <w:tblGrid>
        <w:gridCol w:w="1668"/>
        <w:gridCol w:w="3685"/>
        <w:gridCol w:w="4425"/>
      </w:tblGrid>
      <w:tr>
        <w:trPr/>
        <w:tc>
          <w:tcPr>
            <w:tcW w:w="166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N° beneficiari</w:t>
            </w:r>
          </w:p>
        </w:tc>
        <w:tc>
          <w:tcPr>
            <w:tcW w:w="3685"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Settore/servizio</w:t>
            </w:r>
          </w:p>
        </w:tc>
        <w:tc>
          <w:tcPr>
            <w:tcW w:w="4425"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Tipologia (agile o da remoto) e modalità (N° giorni/settimana)</w:t>
            </w:r>
          </w:p>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r>
          </w:p>
        </w:tc>
      </w:tr>
      <w:tr>
        <w:trPr/>
        <w:tc>
          <w:tcPr>
            <w:tcW w:w="166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1</w:t>
            </w:r>
          </w:p>
        </w:tc>
        <w:tc>
          <w:tcPr>
            <w:tcW w:w="3685"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Finanziario</w:t>
            </w:r>
          </w:p>
        </w:tc>
        <w:tc>
          <w:tcPr>
            <w:tcW w:w="4425"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Lavoro da remoto:  n. 2 giorni a settimana</w:t>
            </w:r>
          </w:p>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r>
          </w:p>
        </w:tc>
      </w:tr>
    </w:tbl>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rPr>
          <w:rFonts w:ascii="Arial" w:hAnsi="Arial" w:eastAsia="Times New Roman" w:cs="Arial"/>
          <w:sz w:val="22"/>
          <w:szCs w:val="22"/>
          <w:lang w:eastAsia="it-IT"/>
        </w:rPr>
      </w:pPr>
      <w:r>
        <w:rPr>
          <w:rFonts w:eastAsia="Times New Roman" w:cs="Arial" w:ascii="Arial" w:hAnsi="Arial"/>
          <w:b/>
          <w:bCs/>
          <w:sz w:val="22"/>
          <w:szCs w:val="22"/>
          <w:lang w:eastAsia="it-IT"/>
        </w:rPr>
        <w:t>Requisiti tecnologici</w:t>
      </w:r>
    </w:p>
    <w:p>
      <w:pPr>
        <w:pStyle w:val="Normal"/>
        <w:suppressAutoHyphens w:val="false"/>
        <w:spacing w:before="120" w:after="120"/>
        <w:jc w:val="both"/>
        <w:rPr>
          <w:rFonts w:ascii="Arial" w:hAnsi="Arial" w:eastAsia="Times New Roman" w:cs="Arial"/>
          <w:sz w:val="22"/>
          <w:szCs w:val="22"/>
          <w:lang w:eastAsia="it-IT"/>
        </w:rPr>
      </w:pPr>
      <w:r>
        <w:rPr>
          <w:rFonts w:eastAsia="Times New Roman" w:cs="Arial" w:ascii="Arial" w:hAnsi="Arial"/>
          <w:sz w:val="22"/>
          <w:szCs w:val="22"/>
          <w:lang w:eastAsia="it-IT"/>
        </w:rPr>
        <w:t>La strategia generale e di ambito unionale, per l’adeguamento informatico necessario a garantire l’efficacia e il consolidamento del Lavoro agile, prevede le seguenti misure tecnologiche:</w:t>
      </w:r>
    </w:p>
    <w:p>
      <w:pPr>
        <w:pStyle w:val="Normal"/>
        <w:numPr>
          <w:ilvl w:val="0"/>
          <w:numId w:val="30"/>
        </w:numPr>
        <w:tabs>
          <w:tab w:val="clear" w:pos="720"/>
          <w:tab w:val="left" w:pos="288" w:leader="none"/>
        </w:tabs>
        <w:suppressAutoHyphens w:val="false"/>
        <w:spacing w:before="120" w:after="120"/>
        <w:ind w:hanging="283" w:left="283"/>
        <w:jc w:val="both"/>
        <w:rPr>
          <w:rFonts w:ascii="Arial" w:hAnsi="Arial" w:eastAsia="Times New Roman" w:cs="Arial"/>
          <w:sz w:val="22"/>
          <w:szCs w:val="22"/>
          <w:lang w:eastAsia="it-IT"/>
        </w:rPr>
      </w:pPr>
      <w:r>
        <w:rPr>
          <w:rFonts w:eastAsia="Times New Roman" w:cs="Arial" w:ascii="Arial" w:hAnsi="Arial"/>
          <w:sz w:val="22"/>
          <w:szCs w:val="22"/>
          <w:lang w:eastAsia="it-IT"/>
        </w:rPr>
        <w:t>Rispetto alla tecnologia, la conferma della modalità VPN attualmente utilizzata dall’Unione e dai Comuni, modificando la configurazione - che oggi prevede il collegamento del PC del lavoratore da remoto al proprio computer fisso (acceso) in ufficio - e prevedendo la possibilità di connettere direttamente il PC da remoto ai servizi in rete o in cloud, senza quindi necessità di avere il doppio computer e prevedendo che il dispositivo si sposti con il lavoratore.</w:t>
      </w:r>
    </w:p>
    <w:p>
      <w:pPr>
        <w:pStyle w:val="Normal"/>
        <w:numPr>
          <w:ilvl w:val="0"/>
          <w:numId w:val="30"/>
        </w:numPr>
        <w:tabs>
          <w:tab w:val="clear" w:pos="720"/>
          <w:tab w:val="left" w:pos="288" w:leader="none"/>
        </w:tabs>
        <w:suppressAutoHyphens w:val="false"/>
        <w:spacing w:before="120" w:after="120"/>
        <w:ind w:hanging="283" w:left="283"/>
        <w:jc w:val="both"/>
        <w:rPr>
          <w:rFonts w:ascii="Arial" w:hAnsi="Arial" w:eastAsia="Times New Roman" w:cs="Arial"/>
          <w:sz w:val="22"/>
          <w:szCs w:val="22"/>
          <w:lang w:eastAsia="it-IT"/>
        </w:rPr>
      </w:pPr>
      <w:r>
        <w:rPr>
          <w:rFonts w:eastAsia="Times New Roman" w:cs="Arial" w:ascii="Arial" w:hAnsi="Arial"/>
          <w:sz w:val="22"/>
          <w:szCs w:val="22"/>
          <w:lang w:eastAsia="it-IT"/>
        </w:rPr>
        <w:t>Rispetto alla strumentazione, si prevede di dotare di un PC portatile di proprietà degli enti i lavoratori che svolgano, all’interno del loro progetto di lavoro agile, un’elevata percentuale di attività da remoto (definendo una soglia di gg/sett.), ipotizzando nel tempo una sostituzione dei PC fissi con PC portatili; in parallelo si prevede di eliminare la postazione fissa di tali lavoratori, rendendo minore la esigenza di acquisto di nuovi PC fissi e potendo ricorrere ai PC presenti per la sostituzione degli altri PC fissi eventualmente non funzionanti. Per coloro che invece svolgeranno lavoro agile con una percentuale di attività da remoto inferiore alla soglia stabilita, si può ipotizzare l’utilizzo di PC portatili di ente o ufficio (per i comuni di maggiore dimensione), con organizzazione dell’utilizzo della risorsa condivisa; l’utilizzo multi utente di un PC condiviso è possibile, se gestito con accortezza.</w:t>
      </w:r>
    </w:p>
    <w:p>
      <w:pPr>
        <w:pStyle w:val="Normal"/>
        <w:tabs>
          <w:tab w:val="clear" w:pos="720"/>
          <w:tab w:val="left" w:pos="288" w:leader="none"/>
        </w:tabs>
        <w:suppressAutoHyphens w:val="false"/>
        <w:ind w:left="283"/>
        <w:rPr>
          <w:rFonts w:ascii="Arial" w:hAnsi="Arial" w:eastAsia="Times New Roman" w:cs="Arial"/>
          <w:sz w:val="22"/>
          <w:szCs w:val="22"/>
          <w:lang w:eastAsia="it-IT"/>
        </w:rPr>
      </w:pPr>
      <w:r>
        <w:rPr>
          <w:rFonts w:eastAsia="Times New Roman" w:cs="Arial" w:ascii="Arial" w:hAnsi="Arial"/>
          <w:sz w:val="22"/>
          <w:szCs w:val="22"/>
          <w:lang w:eastAsia="it-IT"/>
        </w:rPr>
      </w:r>
    </w:p>
    <w:p>
      <w:pPr>
        <w:pStyle w:val="Normal"/>
        <w:suppressAutoHyphens w:val="false"/>
        <w:rPr>
          <w:rFonts w:ascii="Arial" w:hAnsi="Arial" w:eastAsia="Times New Roman" w:cs="Arial"/>
          <w:sz w:val="22"/>
          <w:szCs w:val="22"/>
          <w:lang w:eastAsia="it-IT"/>
        </w:rPr>
      </w:pPr>
      <w:r>
        <w:rPr>
          <w:rFonts w:eastAsia="Times New Roman" w:cs="Arial" w:ascii="Arial" w:hAnsi="Arial"/>
          <w:sz w:val="22"/>
          <w:szCs w:val="22"/>
          <w:lang w:eastAsia="it-IT"/>
        </w:rPr>
        <w:t>Si riportano le principali iniziative la cui attuazione si ritiene funzionale alla fase di consolidamento:</w:t>
      </w:r>
    </w:p>
    <w:p>
      <w:pPr>
        <w:pStyle w:val="Normal"/>
        <w:numPr>
          <w:ilvl w:val="0"/>
          <w:numId w:val="29"/>
        </w:numPr>
        <w:tabs>
          <w:tab w:val="clear" w:pos="720"/>
          <w:tab w:val="left" w:pos="286" w:leader="none"/>
        </w:tabs>
        <w:suppressAutoHyphens w:val="false"/>
        <w:ind w:hanging="283" w:left="283"/>
        <w:rPr>
          <w:rFonts w:ascii="Arial" w:hAnsi="Arial" w:eastAsia="Times New Roman" w:cs="Arial"/>
          <w:sz w:val="22"/>
          <w:szCs w:val="22"/>
          <w:lang w:eastAsia="it-IT"/>
        </w:rPr>
      </w:pPr>
      <w:r>
        <w:rPr>
          <w:rFonts w:eastAsia="Times New Roman" w:cs="Arial" w:ascii="Arial" w:hAnsi="Arial"/>
          <w:sz w:val="22"/>
          <w:szCs w:val="22"/>
          <w:lang w:eastAsia="it-IT"/>
        </w:rPr>
        <w:t>Sviluppo di un più efficace sistema per la ricezione delle domande on-line</w:t>
      </w:r>
    </w:p>
    <w:p>
      <w:pPr>
        <w:pStyle w:val="Normal"/>
        <w:numPr>
          <w:ilvl w:val="0"/>
          <w:numId w:val="29"/>
        </w:numPr>
        <w:tabs>
          <w:tab w:val="clear" w:pos="720"/>
          <w:tab w:val="left" w:pos="286" w:leader="none"/>
        </w:tabs>
        <w:suppressAutoHyphens w:val="false"/>
        <w:ind w:hanging="283" w:left="283"/>
        <w:rPr>
          <w:rFonts w:ascii="Arial" w:hAnsi="Arial" w:eastAsia="Times New Roman" w:cs="Arial"/>
          <w:sz w:val="22"/>
          <w:szCs w:val="22"/>
          <w:lang w:eastAsia="it-IT"/>
        </w:rPr>
      </w:pPr>
      <w:r>
        <w:rPr>
          <w:rFonts w:eastAsia="Times New Roman" w:cs="Arial" w:ascii="Arial" w:hAnsi="Arial"/>
          <w:sz w:val="22"/>
          <w:szCs w:val="22"/>
          <w:lang w:eastAsia="it-IT"/>
        </w:rPr>
        <w:t>Sviluppo di un sistema di presa di appuntamenti on-line</w:t>
      </w:r>
    </w:p>
    <w:p>
      <w:pPr>
        <w:pStyle w:val="Normal"/>
        <w:numPr>
          <w:ilvl w:val="0"/>
          <w:numId w:val="29"/>
        </w:numPr>
        <w:tabs>
          <w:tab w:val="clear" w:pos="720"/>
          <w:tab w:val="left" w:pos="286" w:leader="none"/>
        </w:tabs>
        <w:suppressAutoHyphens w:val="false"/>
        <w:ind w:hanging="283" w:left="283"/>
        <w:rPr>
          <w:rFonts w:ascii="Arial" w:hAnsi="Arial" w:eastAsia="Times New Roman" w:cs="Arial"/>
          <w:sz w:val="22"/>
          <w:szCs w:val="22"/>
          <w:lang w:eastAsia="it-IT"/>
        </w:rPr>
      </w:pPr>
      <w:r>
        <w:rPr>
          <w:rFonts w:eastAsia="Times New Roman" w:cs="Arial" w:ascii="Arial" w:hAnsi="Arial"/>
          <w:sz w:val="22"/>
          <w:szCs w:val="22"/>
          <w:lang w:eastAsia="it-IT"/>
        </w:rPr>
        <w:t>Adozione di un sistema di trasferimento di chiamata dal numero fisso al Pc del dipendente, per favorire l’utilizzo anche dalle postazioni remote dei dipendenti “agili” dei servizi di telefonia offerti dagli enti, senza incidere sul telefono di proprietà del lavoratore/trice.</w:t>
      </w:r>
    </w:p>
    <w:p>
      <w:pPr>
        <w:pStyle w:val="Titolo21"/>
        <w:spacing w:lineRule="exact" w:line="280" w:before="120" w:after="0"/>
        <w:ind w:left="0"/>
        <w:rPr>
          <w:highlight w:val="green"/>
        </w:rPr>
      </w:pPr>
      <w:r>
        <w:rPr>
          <w:highlight w:val="green"/>
        </w:rPr>
      </w:r>
    </w:p>
    <w:p>
      <w:pPr>
        <w:pStyle w:val="Titolo21"/>
        <w:numPr>
          <w:ilvl w:val="1"/>
          <w:numId w:val="20"/>
        </w:numPr>
        <w:spacing w:lineRule="exact" w:line="280" w:before="120" w:after="0"/>
        <w:ind w:hanging="567" w:left="567"/>
        <w:rPr/>
      </w:pPr>
      <w:bookmarkStart w:id="24" w:name="_Toc188008164"/>
      <w:r>
        <w:rPr/>
        <w:t>Sottosezione: Piano Triennale dei Fabbisogni del Personale</w:t>
      </w:r>
      <w:bookmarkEnd w:id="24"/>
    </w:p>
    <w:p>
      <w:pPr>
        <w:pStyle w:val="Titolo21"/>
        <w:numPr>
          <w:ilvl w:val="2"/>
          <w:numId w:val="20"/>
        </w:numPr>
        <w:spacing w:lineRule="exact" w:line="280" w:before="240" w:after="0"/>
        <w:rPr>
          <w:sz w:val="24"/>
          <w:szCs w:val="24"/>
        </w:rPr>
      </w:pPr>
      <w:bookmarkStart w:id="25" w:name="_Toc188008165"/>
      <w:r>
        <w:rPr>
          <w:sz w:val="24"/>
          <w:szCs w:val="24"/>
        </w:rPr>
        <w:t>Rappresentazione della consistenza di personale</w:t>
      </w:r>
      <w:bookmarkEnd w:id="25"/>
    </w:p>
    <w:p>
      <w:pPr>
        <w:pStyle w:val="Normal"/>
        <w:rPr>
          <w:rFonts w:ascii="Arial" w:hAnsi="Arial" w:eastAsia="SimSun" w:cs="Arial"/>
          <w:sz w:val="22"/>
          <w:szCs w:val="22"/>
        </w:rPr>
      </w:pPr>
      <w:r>
        <w:rPr>
          <w:rFonts w:eastAsia="SimSun" w:cs="Arial" w:ascii="Arial" w:hAnsi="Arial"/>
          <w:sz w:val="22"/>
          <w:szCs w:val="22"/>
        </w:rPr>
        <w:t xml:space="preserve">La consistenza del personale in servizio al 31/12/2025, confermata al 1/1/2026, è di nr. 15 unità incardinate nell’organico del Comune oltre ad una unità assegnata dall’Unione Terre di Castelli a tempo parziale previa sottoscrizione di accordo ai sensi dell’art. 23 del CCNL Comparto Finzioni locali dall’Unione </w:t>
      </w:r>
    </w:p>
    <w:p>
      <w:pPr>
        <w:pStyle w:val="Normal"/>
        <w:rPr>
          <w:rFonts w:ascii="Arial" w:hAnsi="Arial" w:eastAsia="SimSun" w:cs="Arial"/>
          <w:sz w:val="22"/>
          <w:szCs w:val="22"/>
        </w:rPr>
      </w:pPr>
      <w:r>
        <w:rPr>
          <w:rFonts w:eastAsia="SimSun" w:cs="Arial" w:ascii="Arial" w:hAnsi="Arial"/>
          <w:sz w:val="22"/>
          <w:szCs w:val="22"/>
        </w:rPr>
      </w:r>
    </w:p>
    <w:tbl>
      <w:tblPr>
        <w:tblW w:w="8774" w:type="dxa"/>
        <w:jc w:val="left"/>
        <w:tblInd w:w="349" w:type="dxa"/>
        <w:tblLayout w:type="fixed"/>
        <w:tblCellMar>
          <w:top w:w="0" w:type="dxa"/>
          <w:left w:w="108" w:type="dxa"/>
          <w:bottom w:w="0" w:type="dxa"/>
          <w:right w:w="108" w:type="dxa"/>
        </w:tblCellMar>
        <w:tblLook w:val="01e0"/>
      </w:tblPr>
      <w:tblGrid>
        <w:gridCol w:w="2533"/>
        <w:gridCol w:w="5246"/>
        <w:gridCol w:w="995"/>
      </w:tblGrid>
      <w:tr>
        <w:trPr>
          <w:trHeight w:val="814" w:hRule="atLeast"/>
        </w:trPr>
        <w:tc>
          <w:tcPr>
            <w:tcW w:w="2533" w:type="dxa"/>
            <w:tcBorders>
              <w:top w:val="single" w:sz="4" w:space="0" w:color="000001"/>
              <w:left w:val="single" w:sz="4" w:space="0" w:color="000001"/>
              <w:bottom w:val="single" w:sz="6" w:space="0" w:color="000001"/>
              <w:right w:val="single" w:sz="4"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Area di inquadramento</w:t>
            </w:r>
          </w:p>
        </w:tc>
        <w:tc>
          <w:tcPr>
            <w:tcW w:w="5246" w:type="dxa"/>
            <w:tcBorders>
              <w:top w:val="single" w:sz="4" w:space="0" w:color="000001"/>
              <w:left w:val="single" w:sz="4"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Profilo Professionale</w:t>
            </w:r>
          </w:p>
        </w:tc>
        <w:tc>
          <w:tcPr>
            <w:tcW w:w="995" w:type="dxa"/>
            <w:tcBorders>
              <w:top w:val="single" w:sz="4" w:space="0" w:color="000001"/>
              <w:left w:val="single" w:sz="6"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nr.</w:t>
            </w:r>
          </w:p>
        </w:tc>
      </w:tr>
      <w:tr>
        <w:trPr>
          <w:trHeight w:val="237" w:hRule="atLeast"/>
        </w:trPr>
        <w:tc>
          <w:tcPr>
            <w:tcW w:w="2533" w:type="dxa"/>
            <w:vMerge w:val="restart"/>
            <w:tcBorders>
              <w:top w:val="single" w:sz="6" w:space="0" w:color="000001"/>
              <w:left w:val="single" w:sz="4" w:space="0" w:color="000001"/>
              <w:bottom w:val="single" w:sz="6"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p>
            <w:pPr>
              <w:pStyle w:val="Normal"/>
              <w:rPr>
                <w:rFonts w:ascii="Arial" w:hAnsi="Arial" w:eastAsia="SimSun" w:cs="Arial"/>
                <w:sz w:val="22"/>
                <w:szCs w:val="22"/>
                <w:lang w:val="en-US"/>
              </w:rPr>
            </w:pPr>
            <w:r>
              <w:rPr>
                <w:rFonts w:eastAsia="SimSun" w:cs="Arial" w:ascii="Arial" w:hAnsi="Arial"/>
                <w:sz w:val="22"/>
                <w:szCs w:val="22"/>
                <w:lang w:val="en-US"/>
              </w:rPr>
            </w:r>
          </w:p>
          <w:p>
            <w:pPr>
              <w:pStyle w:val="Normal"/>
              <w:rPr>
                <w:rFonts w:ascii="Arial" w:hAnsi="Arial" w:eastAsia="SimSun" w:cs="Arial"/>
                <w:sz w:val="22"/>
                <w:szCs w:val="22"/>
                <w:lang w:val="en-US"/>
              </w:rPr>
            </w:pPr>
            <w:r>
              <w:rPr>
                <w:rFonts w:eastAsia="SimSun" w:cs="Arial" w:ascii="Arial" w:hAnsi="Arial"/>
                <w:sz w:val="22"/>
                <w:szCs w:val="22"/>
                <w:lang w:val="en-US"/>
              </w:rPr>
              <w:t>OPERATORIESPERTI</w:t>
            </w:r>
          </w:p>
        </w:tc>
        <w:tc>
          <w:tcPr>
            <w:tcW w:w="5246" w:type="dxa"/>
            <w:tcBorders>
              <w:top w:val="single" w:sz="6" w:space="0" w:color="000001"/>
              <w:left w:val="single" w:sz="4" w:space="0" w:color="000001"/>
              <w:bottom w:val="single" w:sz="4" w:space="0" w:color="000001"/>
              <w:right w:val="single" w:sz="6" w:space="0" w:color="000001"/>
            </w:tcBorders>
          </w:tcPr>
          <w:p>
            <w:pPr>
              <w:pStyle w:val="Normal"/>
              <w:rPr>
                <w:rFonts w:ascii="Arial" w:hAnsi="Arial" w:eastAsia="SimSun" w:cs="Arial"/>
                <w:sz w:val="22"/>
                <w:szCs w:val="22"/>
              </w:rPr>
            </w:pPr>
            <w:r>
              <w:rPr>
                <w:rFonts w:eastAsia="SimSun" w:cs="Arial" w:ascii="Arial" w:hAnsi="Arial"/>
                <w:sz w:val="22"/>
                <w:szCs w:val="22"/>
              </w:rPr>
              <w:t>Collaboratore ausiliario assegnato dall’Unione nella  misura del 35,29% (n.12 ore su tot. p/t34h/sett)</w:t>
            </w:r>
          </w:p>
        </w:tc>
        <w:tc>
          <w:tcPr>
            <w:tcW w:w="995" w:type="dxa"/>
            <w:tcBorders>
              <w:top w:val="single" w:sz="6" w:space="0" w:color="000001"/>
              <w:left w:val="single" w:sz="6" w:space="0" w:color="000001"/>
              <w:bottom w:val="single" w:sz="4"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0,35</w:t>
            </w:r>
          </w:p>
        </w:tc>
      </w:tr>
      <w:tr>
        <w:trPr>
          <w:trHeight w:val="243"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4"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t>Collaboratore conducente MOC</w:t>
            </w:r>
          </w:p>
        </w:tc>
        <w:tc>
          <w:tcPr>
            <w:tcW w:w="995" w:type="dxa"/>
            <w:tcBorders>
              <w:top w:val="single" w:sz="4" w:space="0" w:color="000001"/>
              <w:left w:val="single" w:sz="6"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1</w:t>
            </w:r>
          </w:p>
        </w:tc>
      </w:tr>
      <w:tr>
        <w:trPr>
          <w:trHeight w:val="239"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t>Collaboratore tecnico</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1</w:t>
            </w:r>
          </w:p>
        </w:tc>
      </w:tr>
      <w:tr>
        <w:trPr>
          <w:trHeight w:val="238"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t>Collaboratore terminalista</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1</w:t>
            </w:r>
          </w:p>
        </w:tc>
      </w:tr>
      <w:tr>
        <w:trPr>
          <w:trHeight w:val="516" w:hRule="atLeast"/>
        </w:trPr>
        <w:tc>
          <w:tcPr>
            <w:tcW w:w="2533" w:type="dxa"/>
            <w:tcBorders>
              <w:top w:val="single" w:sz="6" w:space="0" w:color="000001"/>
              <w:left w:val="single" w:sz="4" w:space="0" w:color="000001"/>
              <w:bottom w:val="single" w:sz="6"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b/>
                <w:bCs/>
                <w:sz w:val="22"/>
                <w:szCs w:val="22"/>
                <w:lang w:val="en-US"/>
              </w:rPr>
            </w:pPr>
            <w:r>
              <w:rPr>
                <w:rFonts w:eastAsia="SimSun" w:cs="Arial" w:ascii="Arial" w:hAnsi="Arial"/>
                <w:b/>
                <w:bCs/>
                <w:sz w:val="22"/>
                <w:szCs w:val="22"/>
                <w:lang w:val="en-US"/>
              </w:rPr>
              <w:t>Totale Operatori esperti</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3,35</w:t>
            </w:r>
          </w:p>
        </w:tc>
      </w:tr>
      <w:tr>
        <w:trPr>
          <w:trHeight w:val="241" w:hRule="atLeast"/>
        </w:trPr>
        <w:tc>
          <w:tcPr>
            <w:tcW w:w="2533" w:type="dxa"/>
            <w:vMerge w:val="restart"/>
            <w:tcBorders>
              <w:top w:val="single" w:sz="6" w:space="0" w:color="000001"/>
              <w:left w:val="single" w:sz="4" w:space="0" w:color="000001"/>
              <w:bottom w:val="single" w:sz="6"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p>
            <w:pPr>
              <w:pStyle w:val="Normal"/>
              <w:rPr>
                <w:rFonts w:ascii="Arial" w:hAnsi="Arial" w:eastAsia="SimSun" w:cs="Arial"/>
                <w:sz w:val="22"/>
                <w:szCs w:val="22"/>
                <w:lang w:val="en-US"/>
              </w:rPr>
            </w:pPr>
            <w:r>
              <w:rPr>
                <w:rFonts w:eastAsia="SimSun" w:cs="Arial" w:ascii="Arial" w:hAnsi="Arial"/>
                <w:sz w:val="22"/>
                <w:szCs w:val="22"/>
                <w:lang w:val="en-US"/>
              </w:rPr>
              <w:t>ISTRUTTORI</w:t>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rPr>
            </w:pPr>
            <w:r>
              <w:rPr>
                <w:rFonts w:eastAsia="SimSun" w:cs="Arial" w:ascii="Arial" w:hAnsi="Arial"/>
                <w:sz w:val="22"/>
                <w:szCs w:val="22"/>
              </w:rPr>
              <w:t>Istruttore amministrativo (di cui 1 p.time 83,33%)</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Cs/>
                <w:sz w:val="22"/>
                <w:szCs w:val="22"/>
                <w:lang w:val="en-US"/>
              </w:rPr>
            </w:pPr>
            <w:r>
              <w:rPr>
                <w:rFonts w:eastAsia="SimSun" w:cs="Arial" w:ascii="Arial" w:hAnsi="Arial"/>
                <w:bCs/>
                <w:sz w:val="22"/>
                <w:szCs w:val="22"/>
                <w:lang w:val="en-US"/>
              </w:rPr>
              <w:t>3</w:t>
            </w:r>
          </w:p>
        </w:tc>
      </w:tr>
      <w:tr>
        <w:trPr>
          <w:trHeight w:val="240"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t>Istruttore contabile</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Cs/>
                <w:sz w:val="22"/>
                <w:szCs w:val="22"/>
                <w:lang w:val="en-US"/>
              </w:rPr>
            </w:pPr>
            <w:r>
              <w:rPr>
                <w:rFonts w:eastAsia="SimSun" w:cs="Arial" w:ascii="Arial" w:hAnsi="Arial"/>
                <w:bCs/>
                <w:sz w:val="22"/>
                <w:szCs w:val="22"/>
                <w:lang w:val="en-US"/>
              </w:rPr>
              <w:t>3</w:t>
            </w:r>
          </w:p>
        </w:tc>
      </w:tr>
      <w:tr>
        <w:trPr>
          <w:trHeight w:val="238"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t>Istruttore tecnico</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Cs/>
                <w:sz w:val="22"/>
                <w:szCs w:val="22"/>
                <w:lang w:val="en-US"/>
              </w:rPr>
            </w:pPr>
            <w:r>
              <w:rPr>
                <w:rFonts w:eastAsia="SimSun" w:cs="Arial" w:ascii="Arial" w:hAnsi="Arial"/>
                <w:bCs/>
                <w:sz w:val="22"/>
                <w:szCs w:val="22"/>
                <w:lang w:val="en-US"/>
              </w:rPr>
              <w:t>2</w:t>
            </w:r>
          </w:p>
        </w:tc>
      </w:tr>
      <w:tr>
        <w:trPr>
          <w:trHeight w:val="455" w:hRule="atLeast"/>
        </w:trPr>
        <w:tc>
          <w:tcPr>
            <w:tcW w:w="2533" w:type="dxa"/>
            <w:tcBorders>
              <w:top w:val="single" w:sz="6" w:space="0" w:color="000001"/>
              <w:left w:val="single" w:sz="4" w:space="0" w:color="000001"/>
              <w:bottom w:val="single" w:sz="6"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Totale Istruttori</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8</w:t>
            </w:r>
          </w:p>
        </w:tc>
      </w:tr>
      <w:tr>
        <w:trPr>
          <w:trHeight w:val="240" w:hRule="atLeast"/>
        </w:trPr>
        <w:tc>
          <w:tcPr>
            <w:tcW w:w="2533" w:type="dxa"/>
            <w:vMerge w:val="restart"/>
            <w:tcBorders>
              <w:top w:val="single" w:sz="6" w:space="0" w:color="000001"/>
              <w:left w:val="single" w:sz="4" w:space="0" w:color="000001"/>
              <w:bottom w:val="single" w:sz="6"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p>
            <w:pPr>
              <w:pStyle w:val="Normal"/>
              <w:rPr>
                <w:rFonts w:ascii="Arial" w:hAnsi="Arial" w:eastAsia="SimSun" w:cs="Arial"/>
                <w:sz w:val="22"/>
                <w:szCs w:val="22"/>
                <w:lang w:val="en-US"/>
              </w:rPr>
            </w:pPr>
            <w:r>
              <w:rPr>
                <w:rFonts w:eastAsia="SimSun" w:cs="Arial" w:ascii="Arial" w:hAnsi="Arial"/>
                <w:sz w:val="22"/>
                <w:szCs w:val="22"/>
                <w:lang w:val="en-US"/>
              </w:rPr>
              <w:t>FUNZIONARI ED E.Q.</w:t>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rPr>
            </w:pPr>
            <w:r>
              <w:rPr>
                <w:rFonts w:eastAsia="SimSun" w:cs="Arial" w:ascii="Arial" w:hAnsi="Arial"/>
                <w:sz w:val="22"/>
                <w:szCs w:val="22"/>
              </w:rPr>
              <w:t>Istruttore direttivo amm.vo Incaricato (di cui 1 incaricato ex art. 110, c. 1 TUEL e condiviso con altro Comune, incaricato E.Q.)</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Cs/>
                <w:sz w:val="22"/>
                <w:szCs w:val="22"/>
                <w:lang w:val="en-US"/>
              </w:rPr>
            </w:pPr>
            <w:r>
              <w:rPr>
                <w:rFonts w:eastAsia="SimSun" w:cs="Arial" w:ascii="Arial" w:hAnsi="Arial"/>
                <w:bCs/>
                <w:sz w:val="22"/>
                <w:szCs w:val="22"/>
                <w:lang w:val="en-US"/>
              </w:rPr>
              <w:t>2</w:t>
            </w:r>
          </w:p>
        </w:tc>
      </w:tr>
      <w:tr>
        <w:trPr>
          <w:trHeight w:val="239"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rPr>
            </w:pPr>
            <w:r>
              <w:rPr>
                <w:rFonts w:eastAsia="SimSun" w:cs="Arial" w:ascii="Arial" w:hAnsi="Arial"/>
                <w:sz w:val="22"/>
                <w:szCs w:val="22"/>
              </w:rPr>
              <w:t>Istruttore direttivo contabile IncaricatoE.Q.</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Cs/>
                <w:sz w:val="22"/>
                <w:szCs w:val="22"/>
                <w:lang w:val="en-US"/>
              </w:rPr>
            </w:pPr>
            <w:r>
              <w:rPr>
                <w:rFonts w:eastAsia="SimSun" w:cs="Arial" w:ascii="Arial" w:hAnsi="Arial"/>
                <w:bCs/>
                <w:sz w:val="22"/>
                <w:szCs w:val="22"/>
                <w:lang w:val="en-US"/>
              </w:rPr>
              <w:t>1</w:t>
            </w:r>
          </w:p>
        </w:tc>
      </w:tr>
      <w:tr>
        <w:trPr>
          <w:trHeight w:val="405" w:hRule="atLeast"/>
        </w:trPr>
        <w:tc>
          <w:tcPr>
            <w:tcW w:w="2533" w:type="dxa"/>
            <w:vMerge w:val="continue"/>
            <w:tcBorders>
              <w:top w:val="single" w:sz="6" w:space="0" w:color="000001"/>
              <w:left w:val="single" w:sz="4" w:space="0" w:color="000001"/>
              <w:bottom w:val="single" w:sz="6" w:space="0" w:color="000001"/>
              <w:right w:val="single" w:sz="4" w:space="0" w:color="000001"/>
            </w:tcBorders>
            <w:vAlign w:val="center"/>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sz w:val="22"/>
                <w:szCs w:val="22"/>
              </w:rPr>
            </w:pPr>
            <w:r>
              <w:rPr>
                <w:rFonts w:eastAsia="SimSun" w:cs="Arial" w:ascii="Arial" w:hAnsi="Arial"/>
                <w:sz w:val="22"/>
                <w:szCs w:val="22"/>
              </w:rPr>
              <w:t>Istruttore direttivo tecnico Incaricato E.Q.</w:t>
            </w:r>
          </w:p>
        </w:tc>
        <w:tc>
          <w:tcPr>
            <w:tcW w:w="995" w:type="dxa"/>
            <w:tcBorders>
              <w:top w:val="single" w:sz="6" w:space="0" w:color="000001"/>
              <w:left w:val="single" w:sz="6" w:space="0" w:color="000001"/>
              <w:bottom w:val="single" w:sz="6" w:space="0" w:color="000001"/>
              <w:right w:val="single" w:sz="6" w:space="0" w:color="000001"/>
            </w:tcBorders>
          </w:tcPr>
          <w:p>
            <w:pPr>
              <w:pStyle w:val="Normal"/>
              <w:rPr>
                <w:rFonts w:ascii="Arial" w:hAnsi="Arial" w:eastAsia="SimSun" w:cs="Arial"/>
                <w:bCs/>
                <w:sz w:val="22"/>
                <w:szCs w:val="22"/>
                <w:lang w:val="en-US"/>
              </w:rPr>
            </w:pPr>
            <w:r>
              <w:rPr>
                <w:rFonts w:eastAsia="SimSun" w:cs="Arial" w:ascii="Arial" w:hAnsi="Arial"/>
                <w:bCs/>
                <w:sz w:val="22"/>
                <w:szCs w:val="22"/>
                <w:lang w:val="en-US"/>
              </w:rPr>
              <w:t>1</w:t>
            </w:r>
          </w:p>
        </w:tc>
      </w:tr>
      <w:tr>
        <w:trPr>
          <w:trHeight w:val="239" w:hRule="atLeast"/>
        </w:trPr>
        <w:tc>
          <w:tcPr>
            <w:tcW w:w="2533" w:type="dxa"/>
            <w:tcBorders>
              <w:top w:val="single" w:sz="6" w:space="0" w:color="000001"/>
              <w:left w:val="single" w:sz="4" w:space="0" w:color="000001"/>
              <w:bottom w:val="single" w:sz="6"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6" w:space="0" w:color="000001"/>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Totale Funzionari dE.Q.</w:t>
            </w:r>
          </w:p>
        </w:tc>
        <w:tc>
          <w:tcPr>
            <w:tcW w:w="995" w:type="dxa"/>
            <w:tcBorders>
              <w:top w:val="single" w:sz="6" w:space="0" w:color="000001"/>
              <w:left w:val="single" w:sz="6" w:space="0" w:color="000001"/>
              <w:bottom w:val="single" w:sz="6" w:space="0" w:color="000009"/>
              <w:right w:val="single" w:sz="6" w:space="0" w:color="000001"/>
            </w:tcBorders>
          </w:tcPr>
          <w:p>
            <w:pPr>
              <w:pStyle w:val="Normal"/>
              <w:rPr>
                <w:rFonts w:ascii="Arial" w:hAnsi="Arial" w:eastAsia="SimSun" w:cs="Arial"/>
                <w:b/>
                <w:sz w:val="22"/>
                <w:szCs w:val="22"/>
                <w:lang w:val="en-US"/>
              </w:rPr>
            </w:pPr>
            <w:r>
              <w:rPr>
                <w:rFonts w:eastAsia="SimSun" w:cs="Arial" w:ascii="Arial" w:hAnsi="Arial"/>
                <w:b/>
                <w:sz w:val="22"/>
                <w:szCs w:val="22"/>
                <w:lang w:val="en-US"/>
              </w:rPr>
              <w:t>4</w:t>
            </w:r>
          </w:p>
        </w:tc>
      </w:tr>
      <w:tr>
        <w:trPr>
          <w:trHeight w:val="456" w:hRule="atLeast"/>
        </w:trPr>
        <w:tc>
          <w:tcPr>
            <w:tcW w:w="2533" w:type="dxa"/>
            <w:tcBorders>
              <w:top w:val="single" w:sz="6" w:space="0" w:color="000001"/>
              <w:left w:val="single" w:sz="4" w:space="0" w:color="000001"/>
              <w:bottom w:val="single" w:sz="4" w:space="0" w:color="000001"/>
              <w:right w:val="single" w:sz="4"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tc>
        <w:tc>
          <w:tcPr>
            <w:tcW w:w="5246" w:type="dxa"/>
            <w:tcBorders>
              <w:top w:val="single" w:sz="6" w:space="0" w:color="000001"/>
              <w:left w:val="single" w:sz="4" w:space="0" w:color="000001"/>
              <w:bottom w:val="single" w:sz="4"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p>
            <w:pPr>
              <w:pStyle w:val="Normal"/>
              <w:rPr>
                <w:rFonts w:ascii="Arial" w:hAnsi="Arial" w:eastAsia="SimSun" w:cs="Arial"/>
                <w:b/>
                <w:sz w:val="22"/>
                <w:szCs w:val="22"/>
                <w:lang w:val="en-US"/>
              </w:rPr>
            </w:pPr>
            <w:r>
              <w:rPr>
                <w:rFonts w:eastAsia="SimSun" w:cs="Arial" w:ascii="Arial" w:hAnsi="Arial"/>
                <w:b/>
                <w:sz w:val="22"/>
                <w:szCs w:val="22"/>
                <w:lang w:val="en-US"/>
              </w:rPr>
              <w:t>TOTALE INSERVIZIO</w:t>
            </w:r>
          </w:p>
        </w:tc>
        <w:tc>
          <w:tcPr>
            <w:tcW w:w="995" w:type="dxa"/>
            <w:tcBorders>
              <w:top w:val="single" w:sz="6" w:space="0" w:color="000009"/>
              <w:left w:val="single" w:sz="6" w:space="0" w:color="000001"/>
              <w:bottom w:val="single" w:sz="4" w:space="0" w:color="000001"/>
              <w:right w:val="single" w:sz="6" w:space="0" w:color="000001"/>
            </w:tcBorders>
          </w:tcPr>
          <w:p>
            <w:pPr>
              <w:pStyle w:val="Normal"/>
              <w:rPr>
                <w:rFonts w:ascii="Arial" w:hAnsi="Arial" w:eastAsia="SimSun" w:cs="Arial"/>
                <w:sz w:val="22"/>
                <w:szCs w:val="22"/>
                <w:lang w:val="en-US"/>
              </w:rPr>
            </w:pPr>
            <w:r>
              <w:rPr>
                <w:rFonts w:eastAsia="SimSun" w:cs="Arial" w:ascii="Arial" w:hAnsi="Arial"/>
                <w:sz w:val="22"/>
                <w:szCs w:val="22"/>
                <w:lang w:val="en-US"/>
              </w:rPr>
            </w:r>
          </w:p>
          <w:p>
            <w:pPr>
              <w:pStyle w:val="Normal"/>
              <w:rPr>
                <w:rFonts w:ascii="Arial" w:hAnsi="Arial" w:eastAsia="SimSun" w:cs="Arial"/>
                <w:b/>
                <w:sz w:val="22"/>
                <w:szCs w:val="22"/>
                <w:lang w:val="en-US"/>
              </w:rPr>
            </w:pPr>
            <w:r>
              <w:rPr>
                <w:rFonts w:eastAsia="SimSun" w:cs="Arial" w:ascii="Arial" w:hAnsi="Arial"/>
                <w:b/>
                <w:sz w:val="22"/>
                <w:szCs w:val="22"/>
                <w:lang w:val="en-US"/>
              </w:rPr>
              <w:t>15,35</w:t>
            </w:r>
          </w:p>
          <w:p>
            <w:pPr>
              <w:pStyle w:val="Normal"/>
              <w:rPr>
                <w:rFonts w:ascii="Arial" w:hAnsi="Arial" w:eastAsia="SimSun" w:cs="Arial"/>
                <w:b/>
                <w:sz w:val="22"/>
                <w:szCs w:val="22"/>
                <w:lang w:val="en-US"/>
              </w:rPr>
            </w:pPr>
            <w:r>
              <w:rPr>
                <w:rFonts w:eastAsia="SimSun" w:cs="Arial" w:ascii="Arial" w:hAnsi="Arial"/>
                <w:b/>
                <w:sz w:val="22"/>
                <w:szCs w:val="22"/>
                <w:lang w:val="en-US"/>
              </w:rPr>
            </w:r>
          </w:p>
        </w:tc>
      </w:tr>
    </w:tbl>
    <w:p>
      <w:pPr>
        <w:pStyle w:val="Normal"/>
        <w:rPr>
          <w:rFonts w:ascii="Arial" w:hAnsi="Arial" w:eastAsia="SimSun" w:cs="Arial"/>
          <w:sz w:val="22"/>
          <w:szCs w:val="22"/>
        </w:rPr>
      </w:pPr>
      <w:r>
        <w:rPr>
          <w:rFonts w:eastAsia="SimSun" w:cs="Arial" w:ascii="Arial" w:hAnsi="Arial"/>
          <w:sz w:val="22"/>
          <w:szCs w:val="22"/>
        </w:rPr>
      </w:r>
    </w:p>
    <w:p>
      <w:pPr>
        <w:pStyle w:val="Normal"/>
        <w:rPr>
          <w:rFonts w:ascii="Arial" w:hAnsi="Arial" w:eastAsia="SimSun" w:cs="Arial"/>
          <w:sz w:val="22"/>
          <w:szCs w:val="22"/>
        </w:rPr>
      </w:pPr>
      <w:r>
        <w:rPr>
          <w:rFonts w:eastAsia="SimSun" w:cs="Arial" w:ascii="Arial" w:hAnsi="Arial"/>
          <w:sz w:val="22"/>
          <w:szCs w:val="22"/>
        </w:rPr>
      </w:r>
    </w:p>
    <w:p>
      <w:pPr>
        <w:pStyle w:val="Heading2"/>
        <w:spacing w:before="0" w:after="0"/>
        <w:jc w:val="both"/>
        <w:rPr>
          <w:rFonts w:ascii="Arial" w:hAnsi="Arial" w:eastAsia="SimSun" w:cs="Arial"/>
          <w:iCs/>
          <w:color w:val="auto"/>
          <w:sz w:val="22"/>
          <w:szCs w:val="22"/>
        </w:rPr>
      </w:pPr>
      <w:r>
        <w:rPr>
          <w:rFonts w:eastAsia="SimSun" w:cs="Arial" w:ascii="Arial" w:hAnsi="Arial"/>
          <w:iCs/>
          <w:color w:val="auto"/>
          <w:sz w:val="22"/>
          <w:szCs w:val="22"/>
        </w:rPr>
        <w:t>La struttura organizzativa del Comune di Marano sul Panaro è stata recentemente aggiornata dalla Giunta comunale con deliberazione n. 88 del 10.12.2025 ad oggetto “ADEGUAMENTO DELLA STRUTTURA ORGANIZZATIVA DELL’ENTE”, che, a seguito della cessazione dal servizio della Responsabile del Settore Cultura, Sport e volontariato, avvenuta in data 1° ottobre 2025, ha valutato di apportare modifiche al Settore Amministrativo e  Settore Cultura, Sport e volontariato, mediante la  creazione di  un unico Settore denominato “ Amministrativo”, nonché mediante l’attribuzione del Servizio Sport al Settore LL.PP., Urbanistica, Edilizia privata, Ambiente, Commercio ed Attività, realizzando così maggiori sinergie nella gestione del personale e delle attività, con evidenti ricadute positive in termini di economicità ed efficienza. Per conseguenza, come dettagliatamente esposto nella precedente Sottosezione 3.1, i Settori di massima dimensione sono attualmente nr. 5, in particolare:</w:t>
      </w:r>
    </w:p>
    <w:p>
      <w:pPr>
        <w:pStyle w:val="Normal"/>
        <w:rPr/>
      </w:pPr>
      <w:r>
        <w:rPr/>
      </w:r>
    </w:p>
    <w:p>
      <w:pPr>
        <w:pStyle w:val="Normal"/>
        <w:rPr>
          <w:rFonts w:ascii="Arial" w:hAnsi="Arial" w:eastAsia="SimSun" w:cs="Arial"/>
          <w:sz w:val="22"/>
          <w:szCs w:val="22"/>
        </w:rPr>
      </w:pPr>
      <w:r>
        <w:rPr>
          <w:rFonts w:eastAsia="SimSun" w:cs="Arial" w:ascii="Arial" w:hAnsi="Arial"/>
          <w:sz w:val="22"/>
          <w:szCs w:val="22"/>
        </w:rPr>
        <w:t>SETTORE AMMINISTRATIVO</w:t>
      </w:r>
    </w:p>
    <w:p>
      <w:pPr>
        <w:pStyle w:val="Normal"/>
        <w:rPr>
          <w:rFonts w:ascii="Arial" w:hAnsi="Arial" w:eastAsia="SimSun" w:cs="Arial"/>
          <w:sz w:val="22"/>
          <w:szCs w:val="22"/>
        </w:rPr>
      </w:pPr>
      <w:r>
        <w:rPr>
          <w:rFonts w:eastAsia="SimSun" w:cs="Arial" w:ascii="Arial" w:hAnsi="Arial"/>
          <w:sz w:val="22"/>
          <w:szCs w:val="22"/>
        </w:rPr>
        <w:t>- Servizi Demografici – Servizio segreteria – Servizio Urp</w:t>
      </w:r>
    </w:p>
    <w:p>
      <w:pPr>
        <w:pStyle w:val="Normal"/>
        <w:rPr>
          <w:rFonts w:ascii="Arial" w:hAnsi="Arial" w:eastAsia="SimSun" w:cs="Arial"/>
          <w:sz w:val="22"/>
          <w:szCs w:val="22"/>
        </w:rPr>
      </w:pPr>
      <w:r>
        <w:rPr>
          <w:rFonts w:eastAsia="SimSun" w:cs="Arial" w:ascii="Arial" w:hAnsi="Arial"/>
          <w:sz w:val="22"/>
          <w:szCs w:val="22"/>
        </w:rPr>
        <w:t>- Servizi Cultura, Sport e volontariato</w:t>
      </w:r>
    </w:p>
    <w:p>
      <w:pPr>
        <w:pStyle w:val="Normal"/>
        <w:rPr>
          <w:rFonts w:ascii="Arial" w:hAnsi="Arial" w:eastAsia="SimSun" w:cs="Arial"/>
          <w:sz w:val="22"/>
          <w:szCs w:val="22"/>
        </w:rPr>
      </w:pPr>
      <w:r>
        <w:rPr>
          <w:rFonts w:eastAsia="SimSun" w:cs="Arial" w:ascii="Arial" w:hAnsi="Arial"/>
          <w:sz w:val="22"/>
          <w:szCs w:val="22"/>
        </w:rPr>
      </w:r>
    </w:p>
    <w:p>
      <w:pPr>
        <w:pStyle w:val="Normal"/>
        <w:rPr>
          <w:rFonts w:ascii="Arial" w:hAnsi="Arial" w:eastAsia="SimSun" w:cs="Arial"/>
          <w:sz w:val="22"/>
          <w:szCs w:val="22"/>
        </w:rPr>
      </w:pPr>
      <w:r>
        <w:rPr>
          <w:rFonts w:eastAsia="SimSun" w:cs="Arial" w:ascii="Arial" w:hAnsi="Arial"/>
          <w:sz w:val="22"/>
          <w:szCs w:val="22"/>
        </w:rPr>
        <w:t>SETTORE ECONOMICO FINANZIARIO</w:t>
      </w:r>
    </w:p>
    <w:p>
      <w:pPr>
        <w:pStyle w:val="Normal"/>
        <w:rPr>
          <w:rFonts w:ascii="Arial" w:hAnsi="Arial" w:eastAsia="SimSun" w:cs="Arial"/>
          <w:sz w:val="22"/>
          <w:szCs w:val="22"/>
        </w:rPr>
      </w:pPr>
      <w:r>
        <w:rPr>
          <w:rFonts w:eastAsia="SimSun" w:cs="Arial" w:ascii="Arial" w:hAnsi="Arial"/>
          <w:sz w:val="22"/>
          <w:szCs w:val="22"/>
        </w:rPr>
        <w:t>Servizio Ragioneria – Servizio entrate- Servizio Tributi TARI</w:t>
      </w:r>
    </w:p>
    <w:p>
      <w:pPr>
        <w:pStyle w:val="Normal"/>
        <w:rPr>
          <w:rFonts w:ascii="Arial" w:hAnsi="Arial" w:eastAsia="SimSun" w:cs="Arial"/>
          <w:sz w:val="22"/>
          <w:szCs w:val="22"/>
        </w:rPr>
      </w:pPr>
      <w:r>
        <w:rPr>
          <w:rFonts w:eastAsia="SimSun" w:cs="Arial" w:ascii="Arial" w:hAnsi="Arial"/>
          <w:sz w:val="22"/>
          <w:szCs w:val="22"/>
        </w:rPr>
      </w:r>
    </w:p>
    <w:p>
      <w:pPr>
        <w:pStyle w:val="Normal"/>
        <w:rPr>
          <w:rFonts w:ascii="Arial" w:hAnsi="Arial" w:eastAsia="SimSun" w:cs="Arial"/>
          <w:sz w:val="22"/>
          <w:szCs w:val="22"/>
        </w:rPr>
      </w:pPr>
      <w:r>
        <w:rPr>
          <w:rFonts w:eastAsia="SimSun" w:cs="Arial" w:ascii="Arial" w:hAnsi="Arial"/>
          <w:sz w:val="22"/>
          <w:szCs w:val="22"/>
        </w:rPr>
        <w:t>SETTORE LAVORI PUBBLICI – MANUTENZIONI – URBANISTICA –EDILIZIA PRIVATA – AMBIENTE E SUAP</w:t>
      </w:r>
    </w:p>
    <w:p>
      <w:pPr>
        <w:pStyle w:val="Normal"/>
        <w:rPr>
          <w:rFonts w:ascii="Arial" w:hAnsi="Arial" w:eastAsia="SimSun" w:cs="Arial"/>
          <w:sz w:val="22"/>
          <w:szCs w:val="22"/>
        </w:rPr>
      </w:pPr>
      <w:r>
        <w:rPr>
          <w:rFonts w:eastAsia="SimSun" w:cs="Arial" w:ascii="Arial" w:hAnsi="Arial"/>
          <w:sz w:val="22"/>
          <w:szCs w:val="22"/>
        </w:rPr>
        <w:t>- Servizio Lavori Pubblici e Manutenzioni</w:t>
      </w:r>
    </w:p>
    <w:p>
      <w:pPr>
        <w:pStyle w:val="Normal"/>
        <w:rPr>
          <w:rFonts w:ascii="Arial" w:hAnsi="Arial" w:eastAsia="SimSun" w:cs="Arial"/>
          <w:sz w:val="22"/>
          <w:szCs w:val="22"/>
        </w:rPr>
      </w:pPr>
      <w:r>
        <w:rPr>
          <w:rFonts w:eastAsia="SimSun" w:cs="Arial" w:ascii="Arial" w:hAnsi="Arial"/>
          <w:sz w:val="22"/>
          <w:szCs w:val="22"/>
        </w:rPr>
        <w:t xml:space="preserve">- Servizio Urbanistica ed Servizio Edilizia Privata </w:t>
      </w:r>
    </w:p>
    <w:p>
      <w:pPr>
        <w:pStyle w:val="Normal"/>
        <w:rPr>
          <w:rFonts w:ascii="Arial" w:hAnsi="Arial" w:eastAsia="SimSun" w:cs="Arial"/>
          <w:sz w:val="22"/>
          <w:szCs w:val="22"/>
        </w:rPr>
      </w:pPr>
      <w:r>
        <w:rPr>
          <w:rFonts w:eastAsia="SimSun" w:cs="Arial" w:ascii="Arial" w:hAnsi="Arial"/>
          <w:sz w:val="22"/>
          <w:szCs w:val="22"/>
        </w:rPr>
        <w:t xml:space="preserve">- Servizio Ambiente </w:t>
      </w:r>
    </w:p>
    <w:p>
      <w:pPr>
        <w:pStyle w:val="Normal"/>
        <w:rPr>
          <w:rFonts w:ascii="Arial" w:hAnsi="Arial" w:eastAsia="SimSun" w:cs="Arial"/>
          <w:sz w:val="22"/>
          <w:szCs w:val="22"/>
        </w:rPr>
      </w:pPr>
      <w:r>
        <w:rPr>
          <w:rFonts w:eastAsia="SimSun" w:cs="Arial" w:ascii="Arial" w:hAnsi="Arial"/>
          <w:sz w:val="22"/>
          <w:szCs w:val="22"/>
        </w:rPr>
        <w:t>- Servizio Attività Produttive Suap</w:t>
      </w:r>
    </w:p>
    <w:p>
      <w:pPr>
        <w:pStyle w:val="Normal"/>
        <w:rPr>
          <w:rFonts w:ascii="Arial" w:hAnsi="Arial" w:eastAsia="SimSun" w:cs="Arial"/>
          <w:sz w:val="22"/>
          <w:szCs w:val="22"/>
        </w:rPr>
      </w:pPr>
      <w:r>
        <w:rPr>
          <w:rFonts w:eastAsia="SimSun" w:cs="Arial" w:ascii="Arial" w:hAnsi="Arial"/>
          <w:sz w:val="22"/>
          <w:szCs w:val="22"/>
        </w:rPr>
        <w:t>- Servizio Sport</w:t>
      </w:r>
    </w:p>
    <w:p>
      <w:pPr>
        <w:pStyle w:val="Normal"/>
        <w:rPr>
          <w:rFonts w:ascii="Arial" w:hAnsi="Arial" w:eastAsia="SimSun" w:cs="Arial"/>
          <w:sz w:val="22"/>
          <w:szCs w:val="22"/>
        </w:rPr>
      </w:pPr>
      <w:r>
        <w:rPr>
          <w:rFonts w:eastAsia="SimSun" w:cs="Arial" w:ascii="Arial" w:hAnsi="Arial"/>
          <w:sz w:val="22"/>
          <w:szCs w:val="22"/>
        </w:rPr>
      </w:r>
    </w:p>
    <w:p>
      <w:pPr>
        <w:pStyle w:val="Normal"/>
        <w:rPr>
          <w:rFonts w:ascii="Arial" w:hAnsi="Arial" w:eastAsia="SimSun" w:cs="Arial"/>
          <w:sz w:val="22"/>
          <w:szCs w:val="22"/>
        </w:rPr>
      </w:pPr>
      <w:r>
        <w:rPr>
          <w:rFonts w:eastAsia="SimSun" w:cs="Arial" w:ascii="Arial" w:hAnsi="Arial"/>
          <w:sz w:val="22"/>
          <w:szCs w:val="22"/>
        </w:rPr>
        <w:t>SETTORE TRIBUTI</w:t>
      </w:r>
    </w:p>
    <w:p>
      <w:pPr>
        <w:pStyle w:val="Normal"/>
        <w:rPr>
          <w:rFonts w:ascii="Arial" w:hAnsi="Arial" w:eastAsia="SimSun" w:cs="Arial"/>
          <w:sz w:val="22"/>
          <w:szCs w:val="22"/>
        </w:rPr>
      </w:pPr>
      <w:r>
        <w:rPr>
          <w:rFonts w:eastAsia="SimSun" w:cs="Arial" w:ascii="Arial" w:hAnsi="Arial"/>
          <w:sz w:val="22"/>
          <w:szCs w:val="22"/>
        </w:rPr>
        <w:t>- Ufficio Tributi in convenzione con i Comuni di Vignola e di Savignano sul Panaro</w:t>
      </w:r>
    </w:p>
    <w:p>
      <w:pPr>
        <w:pStyle w:val="Normal"/>
        <w:rPr>
          <w:rFonts w:ascii="Arial" w:hAnsi="Arial" w:eastAsia="SimSun" w:cs="Arial"/>
          <w:sz w:val="22"/>
          <w:szCs w:val="22"/>
        </w:rPr>
      </w:pPr>
      <w:r>
        <w:rPr>
          <w:rFonts w:eastAsia="SimSun" w:cs="Arial" w:ascii="Arial" w:hAnsi="Arial"/>
          <w:sz w:val="22"/>
          <w:szCs w:val="22"/>
        </w:rPr>
      </w:r>
    </w:p>
    <w:p>
      <w:pPr>
        <w:pStyle w:val="Normal"/>
        <w:rPr>
          <w:rFonts w:ascii="Arial" w:hAnsi="Arial" w:eastAsia="SimSun" w:cs="Arial"/>
          <w:sz w:val="22"/>
          <w:szCs w:val="22"/>
          <w:u w:val="single"/>
        </w:rPr>
      </w:pPr>
      <w:r>
        <w:rPr>
          <w:rFonts w:eastAsia="SimSun" w:cs="Arial" w:ascii="Arial" w:hAnsi="Arial"/>
          <w:sz w:val="22"/>
          <w:szCs w:val="22"/>
          <w:u w:val="single"/>
        </w:rPr>
        <w:t>VERIFICA SULLE SITUAZIONI DI ECCEDENZA O SOPRANNUMERO DI PERSONALE</w:t>
      </w:r>
    </w:p>
    <w:p>
      <w:pPr>
        <w:pStyle w:val="Normal"/>
        <w:jc w:val="both"/>
        <w:rPr>
          <w:rFonts w:ascii="Arial" w:hAnsi="Arial" w:eastAsia="SimSun" w:cs="Arial"/>
          <w:sz w:val="22"/>
          <w:szCs w:val="22"/>
        </w:rPr>
      </w:pPr>
      <w:r>
        <w:rPr>
          <w:rFonts w:eastAsia="SimSun" w:cs="Arial" w:ascii="Arial" w:hAnsi="Arial"/>
          <w:sz w:val="22"/>
          <w:szCs w:val="22"/>
        </w:rPr>
        <w:t>Sebbene non si prevedano ad oggi assunzioni di nuovo personale, si ritiene opportuno procedere agli adempimenti di cui all’art. 16 della Legge 12 novembre 2011 n.183, che ha modificato l’istituto del collocamento in disponibilità dei dipendenti pubblici, nell’intento di rafforzare il vincolo tra dotazione organica ed esercizio dei compiti istituzionali, imponendo alle Pubbliche Amministrazioni di provvedere alla ricognizione delle eventuali eccedenze o condizioni di soprannumero del personale in servizio, da valutarsi alla luce di esigenze funzionali o connesse alla situazione finanziaria.</w:t>
      </w:r>
    </w:p>
    <w:p>
      <w:pPr>
        <w:pStyle w:val="Normal"/>
        <w:jc w:val="both"/>
        <w:rPr>
          <w:rFonts w:ascii="Arial" w:hAnsi="Arial" w:eastAsia="SimSun" w:cs="Arial"/>
          <w:sz w:val="22"/>
          <w:szCs w:val="22"/>
        </w:rPr>
      </w:pPr>
      <w:r>
        <w:rPr>
          <w:rFonts w:eastAsia="SimSun" w:cs="Arial" w:ascii="Arial" w:hAnsi="Arial"/>
          <w:sz w:val="22"/>
          <w:szCs w:val="22"/>
        </w:rPr>
        <w:t>Si precisa:</w:t>
      </w:r>
    </w:p>
    <w:p>
      <w:pPr>
        <w:pStyle w:val="Normal"/>
        <w:jc w:val="both"/>
        <w:rPr>
          <w:rFonts w:ascii="Arial" w:hAnsi="Arial" w:eastAsia="SimSun" w:cs="Arial"/>
          <w:sz w:val="22"/>
          <w:szCs w:val="22"/>
        </w:rPr>
      </w:pPr>
      <w:r>
        <w:rPr>
          <w:rFonts w:eastAsia="SimSun" w:cs="Arial" w:ascii="Arial" w:hAnsi="Arial"/>
          <w:sz w:val="22"/>
          <w:szCs w:val="22"/>
        </w:rPr>
        <w:t>- che la disposizione anzi citata, che modifica l’articolo 33 del D. Lgs. 165/2001, obbliga le Pubbliche Amministrazioni ad effettuare almeno annualmente una ricognizione per verificare condizioni di soprannumero o eccedenze di personale e che compete ai Dirigenti/Responsabili attivare le procedure di verifica per il Settore di competenza;</w:t>
      </w:r>
    </w:p>
    <w:p>
      <w:pPr>
        <w:pStyle w:val="Normal"/>
        <w:jc w:val="both"/>
        <w:rPr>
          <w:rFonts w:ascii="Arial" w:hAnsi="Arial" w:eastAsia="SimSun" w:cs="Arial"/>
          <w:sz w:val="22"/>
          <w:szCs w:val="22"/>
        </w:rPr>
      </w:pPr>
      <w:r>
        <w:rPr>
          <w:rFonts w:eastAsia="SimSun" w:cs="Arial" w:ascii="Arial" w:hAnsi="Arial"/>
          <w:sz w:val="22"/>
          <w:szCs w:val="22"/>
        </w:rPr>
        <w:t>- che la condizione di soprannumero si rileva dalla presenza di personale in servizio a tempo indeterminato extra dotazione organica, mentre la condizione di eccedenza si rileva rispetto alle esigenze funzionali o alla impossibilità dell’ente di rispettare i vincoli dettati dal legislatore per il tetto di spesa del personale.</w:t>
      </w:r>
    </w:p>
    <w:p>
      <w:pPr>
        <w:pStyle w:val="Normal"/>
        <w:jc w:val="both"/>
        <w:rPr>
          <w:rFonts w:ascii="Arial" w:hAnsi="Arial" w:eastAsia="SimSun" w:cs="Arial"/>
          <w:sz w:val="22"/>
          <w:szCs w:val="22"/>
        </w:rPr>
      </w:pPr>
      <w:r>
        <w:rPr>
          <w:rFonts w:eastAsia="SimSun" w:cs="Arial" w:ascii="Arial" w:hAnsi="Arial"/>
          <w:sz w:val="22"/>
          <w:szCs w:val="22"/>
        </w:rPr>
      </w:r>
    </w:p>
    <w:p>
      <w:pPr>
        <w:pStyle w:val="Normal"/>
        <w:jc w:val="both"/>
        <w:rPr>
          <w:rFonts w:ascii="Arial" w:hAnsi="Arial" w:eastAsia="SimSun" w:cs="Arial"/>
          <w:sz w:val="22"/>
          <w:szCs w:val="22"/>
        </w:rPr>
      </w:pPr>
      <w:r>
        <w:rPr>
          <w:rFonts w:eastAsia="SimSun" w:cs="Arial" w:ascii="Arial" w:hAnsi="Arial"/>
          <w:sz w:val="22"/>
          <w:szCs w:val="22"/>
        </w:rPr>
        <w:t>Vista la suddetta dotazione di personale aggiornata all’1.1.2026, rispetto alla quale i Responsabili dei Settori hanno effettuato la verifica, ognuno per la propria articolazione organizzativa, facendo riferimento a:</w:t>
      </w:r>
    </w:p>
    <w:p>
      <w:pPr>
        <w:pStyle w:val="Normal"/>
        <w:numPr>
          <w:ilvl w:val="0"/>
          <w:numId w:val="33"/>
        </w:numPr>
        <w:suppressAutoHyphens w:val="false"/>
        <w:jc w:val="both"/>
        <w:rPr>
          <w:rFonts w:ascii="Arial" w:hAnsi="Arial" w:eastAsia="SimSun" w:cs="Arial"/>
          <w:sz w:val="22"/>
          <w:szCs w:val="22"/>
        </w:rPr>
      </w:pPr>
      <w:r>
        <w:rPr>
          <w:rFonts w:eastAsia="SimSun" w:cs="Arial" w:ascii="Arial" w:hAnsi="Arial"/>
          <w:sz w:val="22"/>
          <w:szCs w:val="22"/>
        </w:rPr>
        <w:t>rapporto dotazione organica e personale in servizio,</w:t>
      </w:r>
    </w:p>
    <w:p>
      <w:pPr>
        <w:pStyle w:val="Normal"/>
        <w:numPr>
          <w:ilvl w:val="0"/>
          <w:numId w:val="33"/>
        </w:numPr>
        <w:suppressAutoHyphens w:val="false"/>
        <w:jc w:val="both"/>
        <w:rPr>
          <w:rFonts w:ascii="Arial" w:hAnsi="Arial" w:eastAsia="SimSun" w:cs="Arial"/>
          <w:sz w:val="22"/>
          <w:szCs w:val="22"/>
        </w:rPr>
      </w:pPr>
      <w:r>
        <w:rPr>
          <w:rFonts w:eastAsia="SimSun" w:cs="Arial" w:ascii="Arial" w:hAnsi="Arial"/>
          <w:sz w:val="22"/>
          <w:szCs w:val="22"/>
        </w:rPr>
        <w:t>cessazioni di personale verificatesi,</w:t>
      </w:r>
    </w:p>
    <w:p>
      <w:pPr>
        <w:pStyle w:val="Normal"/>
        <w:numPr>
          <w:ilvl w:val="0"/>
          <w:numId w:val="33"/>
        </w:numPr>
        <w:suppressAutoHyphens w:val="false"/>
        <w:jc w:val="both"/>
        <w:rPr>
          <w:rFonts w:ascii="Arial" w:hAnsi="Arial" w:eastAsia="SimSun" w:cs="Arial"/>
          <w:sz w:val="22"/>
          <w:szCs w:val="22"/>
        </w:rPr>
      </w:pPr>
      <w:r>
        <w:rPr>
          <w:rFonts w:eastAsia="SimSun" w:cs="Arial" w:ascii="Arial" w:hAnsi="Arial"/>
          <w:sz w:val="22"/>
          <w:szCs w:val="22"/>
        </w:rPr>
        <w:t>eventuale esternalizzazione di servizi,</w:t>
      </w:r>
    </w:p>
    <w:p>
      <w:pPr>
        <w:pStyle w:val="Normal"/>
        <w:numPr>
          <w:ilvl w:val="0"/>
          <w:numId w:val="33"/>
        </w:numPr>
        <w:suppressAutoHyphens w:val="false"/>
        <w:jc w:val="both"/>
        <w:rPr>
          <w:rFonts w:ascii="Arial" w:hAnsi="Arial" w:eastAsia="SimSun" w:cs="Arial"/>
          <w:sz w:val="22"/>
          <w:szCs w:val="22"/>
        </w:rPr>
      </w:pPr>
      <w:r>
        <w:rPr>
          <w:rFonts w:eastAsia="SimSun" w:cs="Arial" w:ascii="Arial" w:hAnsi="Arial"/>
          <w:sz w:val="22"/>
          <w:szCs w:val="22"/>
        </w:rPr>
        <w:t>tipologia dei procedimenti e loro numero e complessità,</w:t>
      </w:r>
    </w:p>
    <w:p>
      <w:pPr>
        <w:pStyle w:val="Normal"/>
        <w:numPr>
          <w:ilvl w:val="0"/>
          <w:numId w:val="33"/>
        </w:numPr>
        <w:suppressAutoHyphens w:val="false"/>
        <w:jc w:val="both"/>
        <w:rPr>
          <w:rFonts w:ascii="Arial" w:hAnsi="Arial" w:eastAsia="SimSun" w:cs="Arial"/>
          <w:sz w:val="22"/>
          <w:szCs w:val="22"/>
        </w:rPr>
      </w:pPr>
      <w:r>
        <w:rPr>
          <w:rFonts w:eastAsia="SimSun" w:cs="Arial" w:ascii="Arial" w:hAnsi="Arial"/>
          <w:sz w:val="22"/>
          <w:szCs w:val="22"/>
        </w:rPr>
        <w:t xml:space="preserve">eventuali attività aggiuntive/innovative poste in capo alle Strutture. </w:t>
      </w:r>
    </w:p>
    <w:p>
      <w:pPr>
        <w:pStyle w:val="Normal"/>
        <w:jc w:val="both"/>
        <w:rPr>
          <w:rFonts w:ascii="Arial" w:hAnsi="Arial" w:eastAsia="SimSun" w:cs="Arial"/>
          <w:sz w:val="22"/>
          <w:szCs w:val="22"/>
        </w:rPr>
      </w:pPr>
      <w:r>
        <w:rPr>
          <w:rFonts w:eastAsia="SimSun" w:cs="Arial" w:ascii="Arial" w:hAnsi="Arial"/>
          <w:sz w:val="22"/>
          <w:szCs w:val="22"/>
        </w:rPr>
        <w:t>rilevando e riferendo l’assenza di situazioni di soprannumero e di eccedenza di personale rispetto alle esigenze funzionali della quale, si prende atto degli esiti di tale verifica ovvero dell’inesistenza di situazioni di eccedenza o soprannumero di personale (si veda la dichiarazione prot. n. 1129 del 13/0172026).</w:t>
      </w:r>
    </w:p>
    <w:p>
      <w:pPr>
        <w:pStyle w:val="Normal"/>
        <w:rPr>
          <w:rFonts w:ascii="Arial" w:hAnsi="Arial" w:eastAsia="SimSun" w:cs="Arial"/>
          <w:b/>
          <w:bCs/>
          <w:sz w:val="22"/>
          <w:szCs w:val="22"/>
        </w:rPr>
      </w:pPr>
      <w:r>
        <w:rPr>
          <w:rFonts w:eastAsia="SimSun" w:cs="Arial" w:ascii="Arial" w:hAnsi="Arial"/>
          <w:b/>
          <w:bCs/>
          <w:sz w:val="22"/>
          <w:szCs w:val="22"/>
        </w:rPr>
      </w:r>
    </w:p>
    <w:p>
      <w:pPr>
        <w:pStyle w:val="ListParagraph"/>
        <w:keepNext w:val="true"/>
        <w:numPr>
          <w:ilvl w:val="2"/>
          <w:numId w:val="20"/>
        </w:numPr>
        <w:spacing w:before="240" w:after="60"/>
        <w:contextualSpacing/>
        <w:outlineLvl w:val="2"/>
        <w:rPr>
          <w:rFonts w:ascii="Arial" w:hAnsi="Arial" w:eastAsia="Times New Roman" w:cs="Arial"/>
          <w:b/>
          <w:bCs/>
          <w:sz w:val="22"/>
          <w:szCs w:val="22"/>
          <w:lang w:eastAsia="it-IT"/>
        </w:rPr>
      </w:pPr>
      <w:bookmarkStart w:id="26" w:name="_Toc188008167"/>
      <w:r>
        <w:rPr>
          <w:rFonts w:eastAsia="Times New Roman" w:cs="Arial" w:ascii="Arial" w:hAnsi="Arial"/>
          <w:b/>
          <w:bCs/>
          <w:sz w:val="22"/>
          <w:szCs w:val="22"/>
          <w:lang w:eastAsia="it-IT"/>
        </w:rPr>
        <w:t>Strategia di copertura del fabbisogno</w:t>
      </w:r>
      <w:bookmarkEnd w:id="26"/>
    </w:p>
    <w:p>
      <w:pPr>
        <w:pStyle w:val="ListParagraph"/>
        <w:keepNext w:val="true"/>
        <w:numPr>
          <w:ilvl w:val="0"/>
          <w:numId w:val="0"/>
        </w:numPr>
        <w:spacing w:before="240" w:after="60"/>
        <w:ind w:hanging="0" w:left="720"/>
        <w:contextualSpacing/>
        <w:outlineLvl w:val="2"/>
        <w:rPr>
          <w:rFonts w:ascii="Arial" w:hAnsi="Arial" w:eastAsia="Times New Roman" w:cs="Arial"/>
          <w:b/>
          <w:bCs/>
          <w:sz w:val="22"/>
          <w:szCs w:val="22"/>
          <w:lang w:eastAsia="it-IT"/>
        </w:rPr>
      </w:pPr>
      <w:r>
        <w:rPr>
          <w:rFonts w:eastAsia="Times New Roman" w:cs="Arial" w:ascii="Arial" w:hAnsi="Arial"/>
          <w:b/>
          <w:bCs/>
          <w:sz w:val="22"/>
          <w:szCs w:val="22"/>
          <w:lang w:eastAsia="it-IT"/>
        </w:rPr>
      </w:r>
    </w:p>
    <w:p>
      <w:pPr>
        <w:pStyle w:val="Normal"/>
        <w:jc w:val="both"/>
        <w:rPr>
          <w:rFonts w:ascii="Arial" w:hAnsi="Arial" w:eastAsia="SimSun" w:cs="Arial"/>
          <w:sz w:val="22"/>
          <w:szCs w:val="22"/>
        </w:rPr>
      </w:pPr>
      <w:r>
        <w:rPr>
          <w:rFonts w:eastAsia="SimSun" w:cs="Arial" w:ascii="Arial" w:hAnsi="Arial"/>
          <w:sz w:val="22"/>
          <w:szCs w:val="22"/>
        </w:rPr>
        <w:t xml:space="preserve">Come sopra anticipato, ad oggi </w:t>
      </w:r>
      <w:r>
        <w:rPr>
          <w:rFonts w:eastAsia="SimSun" w:cs="Arial" w:ascii="Arial" w:hAnsi="Arial"/>
          <w:sz w:val="22"/>
          <w:szCs w:val="22"/>
          <w:u w:val="single"/>
        </w:rPr>
        <w:t>il Comune di Marano non prevede di effettuare assunzioni di personale nell’anno 2026 e seguenti</w:t>
      </w:r>
      <w:r>
        <w:rPr>
          <w:rFonts w:eastAsia="SimSun" w:cs="Arial" w:ascii="Arial" w:hAnsi="Arial"/>
          <w:sz w:val="22"/>
          <w:szCs w:val="22"/>
        </w:rPr>
        <w:t>, pertanto il piano occupazionale verrà eventualmente predisposto qualora si verificassero cessazioni non prevedibili o nuove esigenze specifiche.</w:t>
      </w:r>
    </w:p>
    <w:p>
      <w:pPr>
        <w:pStyle w:val="ListParagraph"/>
        <w:ind w:left="360"/>
        <w:rPr>
          <w:rFonts w:ascii="Arial" w:hAnsi="Arial" w:eastAsia="SimSun" w:cs="Arial"/>
          <w:sz w:val="22"/>
          <w:szCs w:val="22"/>
        </w:rPr>
      </w:pPr>
      <w:r>
        <w:rPr>
          <w:rFonts w:eastAsia="SimSun" w:cs="Arial" w:ascii="Arial" w:hAnsi="Arial"/>
          <w:sz w:val="22"/>
          <w:szCs w:val="22"/>
        </w:rPr>
      </w:r>
    </w:p>
    <w:p>
      <w:pPr>
        <w:pStyle w:val="Normal"/>
        <w:jc w:val="both"/>
        <w:rPr>
          <w:rFonts w:ascii="Arial" w:hAnsi="Arial" w:eastAsia="SimSun" w:cs="Arial"/>
          <w:color w:val="000000"/>
          <w:sz w:val="22"/>
          <w:szCs w:val="22"/>
        </w:rPr>
      </w:pPr>
      <w:r>
        <w:rPr>
          <w:rFonts w:eastAsia="SimSun" w:cs="Arial" w:ascii="Arial" w:hAnsi="Arial"/>
          <w:sz w:val="22"/>
          <w:szCs w:val="22"/>
        </w:rPr>
        <w:t xml:space="preserve">Si prevede tuttavia, stante </w:t>
      </w:r>
      <w:r>
        <w:rPr>
          <w:rFonts w:eastAsia="SimSun" w:cs="Arial" w:ascii="Arial" w:hAnsi="Arial"/>
          <w:color w:val="000000"/>
          <w:sz w:val="22"/>
          <w:szCs w:val="22"/>
        </w:rPr>
        <w:t xml:space="preserve">l’esiguità numerica del personale in sevizio e la disponibilità del dipendente,  di </w:t>
      </w:r>
      <w:r>
        <w:rPr>
          <w:rFonts w:eastAsia="SimSun" w:cs="Arial" w:ascii="Arial" w:hAnsi="Arial"/>
          <w:color w:val="000000"/>
          <w:sz w:val="22"/>
          <w:szCs w:val="22"/>
          <w:u w:val="single"/>
        </w:rPr>
        <w:t>modificare il rapporto di lavoro in essere con 1 Istruttore Amministrativo</w:t>
      </w:r>
      <w:r>
        <w:rPr>
          <w:rFonts w:eastAsia="SimSun" w:cs="Arial" w:ascii="Arial" w:hAnsi="Arial"/>
          <w:color w:val="000000"/>
          <w:sz w:val="22"/>
          <w:szCs w:val="22"/>
        </w:rPr>
        <w:t xml:space="preserve">  in servizio presso il Settore Amministrativo </w:t>
      </w:r>
      <w:r>
        <w:rPr>
          <w:rFonts w:eastAsia="SimSun" w:cs="Arial" w:ascii="Arial" w:hAnsi="Arial"/>
          <w:color w:val="000000"/>
          <w:sz w:val="22"/>
          <w:szCs w:val="22"/>
          <w:u w:val="single"/>
        </w:rPr>
        <w:t>da part time all’ 83,33% del tempo lavorativo a full time (36 ore settimanali)</w:t>
      </w:r>
      <w:r>
        <w:rPr>
          <w:rFonts w:eastAsia="SimSun" w:cs="Arial" w:ascii="Arial" w:hAnsi="Arial"/>
          <w:color w:val="000000"/>
          <w:sz w:val="22"/>
          <w:szCs w:val="22"/>
        </w:rPr>
        <w:t>, dalla prima decorrenza utile dopo l’approvazione del presente documento, indicativamente non prima del 01/2/2026, a fronte di una spesa di € 4.825,00 a valere sull’annualità 2026 e di € 5.509,00 per intero anno solare. Tale spesa trova copertura sugli appositi capitoli del bilancio comunale e rispetta il limite del complessivo tetto di spesa.</w:t>
      </w:r>
    </w:p>
    <w:p>
      <w:pPr>
        <w:pStyle w:val="ListParagraph"/>
        <w:ind w:left="360"/>
        <w:rPr>
          <w:rFonts w:ascii="Arial" w:hAnsi="Arial" w:eastAsia="SimSun" w:cs="Arial"/>
          <w:sz w:val="22"/>
          <w:szCs w:val="22"/>
        </w:rPr>
      </w:pPr>
      <w:r>
        <w:rPr>
          <w:rFonts w:eastAsia="SimSun" w:cs="Arial" w:ascii="Arial" w:hAnsi="Arial"/>
          <w:sz w:val="22"/>
          <w:szCs w:val="22"/>
        </w:rPr>
      </w:r>
    </w:p>
    <w:p>
      <w:pPr>
        <w:pStyle w:val="Normal"/>
        <w:jc w:val="both"/>
        <w:rPr>
          <w:rFonts w:ascii="Arial" w:hAnsi="Arial" w:eastAsia="SimSun" w:cs="Arial"/>
          <w:sz w:val="22"/>
          <w:szCs w:val="22"/>
        </w:rPr>
      </w:pPr>
      <w:r>
        <w:rPr>
          <w:rFonts w:eastAsia="SimSun" w:cs="Arial" w:ascii="Arial" w:hAnsi="Arial"/>
          <w:sz w:val="22"/>
          <w:szCs w:val="22"/>
        </w:rPr>
        <w:t>Si rammenta inoltre che l’ente ha prorogato per il periodo 09/01/2026-08/01/2028 il rapporto di lavoro a termine in essere con il Funzionario incaricato dal Sindaco, ex art. 110 c.1 del TUEL, quale responsabile apicale del Settore Amministrativo e Vice segretario generale, rinnovando altresì, per la medesima durata, l’accordo già in essere con il Comune di Savignano sul Panaro per la condivisione di tale profilo specializzato. L’accordo rinnovato, approvato dalla Giunta comunale con deliberazione n. 90 del 17/12/2025, regolarmente sottoscritto dagli enti, ha previsto la riduzione dell’utilizzo da parte di Savignano dal 60% al 50%, in considerazione della necessità incrementata presso il Comune di Marano a seguito della sopra citata riorganizzazione dei settori comunali che richieede un maggiore presidio in quanto ha assegnato proprio al Settore Amministrativo ulteriori servizi - Cultura, Sport e volontariato - che in precedenza erano autonomi.</w:t>
      </w:r>
    </w:p>
    <w:p>
      <w:pPr>
        <w:pStyle w:val="ListParagraph"/>
        <w:ind w:left="360"/>
        <w:jc w:val="both"/>
        <w:rPr>
          <w:rFonts w:ascii="Arial" w:hAnsi="Arial" w:eastAsia="SimSun" w:cs="Arial"/>
          <w:sz w:val="22"/>
          <w:szCs w:val="22"/>
        </w:rPr>
      </w:pPr>
      <w:r>
        <w:rPr>
          <w:rFonts w:eastAsia="SimSun" w:cs="Arial" w:ascii="Arial" w:hAnsi="Arial"/>
          <w:sz w:val="22"/>
          <w:szCs w:val="22"/>
        </w:rPr>
      </w:r>
    </w:p>
    <w:p>
      <w:pPr>
        <w:pStyle w:val="Normal"/>
        <w:jc w:val="both"/>
        <w:rPr>
          <w:rFonts w:ascii="Arial" w:hAnsi="Arial" w:cs="Arial"/>
          <w:sz w:val="22"/>
          <w:szCs w:val="22"/>
        </w:rPr>
      </w:pPr>
      <w:r>
        <w:rPr>
          <w:rFonts w:eastAsia="SimSun" w:cs="Arial" w:ascii="Arial" w:hAnsi="Arial"/>
          <w:sz w:val="22"/>
          <w:szCs w:val="22"/>
        </w:rPr>
        <w:t xml:space="preserve">Nel richiamare brevemente il </w:t>
      </w:r>
      <w:r>
        <w:rPr>
          <w:rFonts w:eastAsia="SimSun" w:cs="Arial" w:ascii="Arial" w:hAnsi="Arial"/>
          <w:bCs/>
          <w:sz w:val="22"/>
          <w:szCs w:val="22"/>
        </w:rPr>
        <w:t xml:space="preserve">quadro normativo vigente per la spesa di personale in particolare </w:t>
      </w:r>
      <w:r>
        <w:rPr>
          <w:rFonts w:cs="Arial" w:ascii="Arial" w:hAnsi="Arial"/>
          <w:sz w:val="22"/>
          <w:szCs w:val="22"/>
        </w:rPr>
        <w:t xml:space="preserve">la disciplina generale delle assunzioni contenuta nell’art. 33 del DL 34/2019, convertito con modificazioni dalla L. n. 58/2019 e nel decreto della Presidenza del Consiglio dei Ministri dipartimento della Funzione pubblica del 17 marzo 2020 recante </w:t>
      </w:r>
      <w:r>
        <w:rPr>
          <w:rFonts w:cs="Arial" w:ascii="Arial" w:hAnsi="Arial"/>
          <w:i/>
          <w:iCs/>
          <w:sz w:val="22"/>
          <w:szCs w:val="22"/>
        </w:rPr>
        <w:t>Misure per la definizione delle capacità assunzionali di personale a tempo indeterminato dei comuni</w:t>
      </w:r>
      <w:r>
        <w:rPr>
          <w:rFonts w:cs="Arial" w:ascii="Arial" w:hAnsi="Arial"/>
          <w:sz w:val="22"/>
          <w:szCs w:val="22"/>
        </w:rPr>
        <w:t xml:space="preserve"> (che prevedono l’introduzione di un sistema basato sulla sostenibilità finanziaria della spesa di personale, vale a dire sulla sostenibilità del rapporto tra spese di personale ed entrate correnti), si precisa che, sulla base delle verifiche e dei calcoli operati per competenza dal Servizio Risorse Umane Gestione Economica del personale dell’Unione:</w:t>
      </w:r>
    </w:p>
    <w:p>
      <w:pPr>
        <w:pStyle w:val="ListParagraph"/>
        <w:ind w:left="360"/>
        <w:rPr>
          <w:rFonts w:ascii="Arial" w:hAnsi="Arial" w:cs="Arial"/>
          <w:sz w:val="20"/>
          <w:szCs w:val="20"/>
        </w:rPr>
      </w:pPr>
      <w:r>
        <w:rPr>
          <w:rFonts w:cs="Arial" w:ascii="Arial" w:hAnsi="Arial"/>
          <w:sz w:val="20"/>
          <w:szCs w:val="20"/>
        </w:rPr>
      </w:r>
    </w:p>
    <w:p>
      <w:pPr>
        <w:pStyle w:val="Normal"/>
        <w:jc w:val="both"/>
        <w:rPr>
          <w:rFonts w:ascii="Arial" w:hAnsi="Arial" w:cs="Arial"/>
          <w:sz w:val="22"/>
          <w:szCs w:val="22"/>
        </w:rPr>
      </w:pPr>
      <w:r>
        <w:rPr>
          <w:rFonts w:cs="Arial" w:ascii="Arial" w:hAnsi="Arial"/>
          <w:sz w:val="22"/>
          <w:szCs w:val="22"/>
        </w:rPr>
        <w:t xml:space="preserve">- il Comune di Marano sul Panaro rientra nella fascia demografica </w:t>
      </w:r>
      <w:r>
        <w:rPr>
          <w:rFonts w:eastAsia="SimSun" w:cs="Arial" w:ascii="Arial" w:hAnsi="Arial"/>
          <w:sz w:val="22"/>
          <w:szCs w:val="22"/>
        </w:rPr>
        <w:t>tra i 5.000 ed i 9.999 abitanti</w:t>
      </w:r>
      <w:r>
        <w:rPr>
          <w:rFonts w:cs="Arial" w:ascii="Arial" w:hAnsi="Arial"/>
          <w:sz w:val="22"/>
          <w:szCs w:val="22"/>
        </w:rPr>
        <w:t>, per la quale il D.P.C.M. del 17/03/2020 fissa i seguenti valori soglia di riferimento del rapporto della spesa del personale dei comuni rispetto alle entrate correnti: da 27,20% a 31,20%;</w:t>
      </w:r>
    </w:p>
    <w:p>
      <w:pPr>
        <w:pStyle w:val="ListParagraph"/>
        <w:ind w:left="36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 la percentuale dell’Ente, in applicazione del suddetto decreto, tenendo conto della spesa di personale del Conto Consuntivo 2024 e della media delle entrate correnti 2022-2024 al netto del FCDE, secondo le istruzioni del Decreto 17/3/2020 e della relativa circolare interministeriale, è </w:t>
      </w:r>
      <w:r>
        <w:rPr>
          <w:rFonts w:cs="Arial" w:ascii="Arial" w:hAnsi="Arial"/>
          <w:sz w:val="22"/>
          <w:szCs w:val="22"/>
          <w:u w:val="single"/>
        </w:rPr>
        <w:t>pari a 26,52%, come da prospetto riepilogativo dei calcoli sotto riportato, pertanto l’Ente presenta una bassa incidenza della spesa di personale</w:t>
      </w:r>
      <w:r>
        <w:rPr>
          <w:rFonts w:cs="Arial" w:ascii="Arial" w:hAnsi="Arial"/>
          <w:sz w:val="22"/>
          <w:szCs w:val="22"/>
        </w:rPr>
        <w:t xml:space="preserve"> (art. 4, comma 2, D.P.C.M. 17/03/2020), </w:t>
      </w:r>
    </w:p>
    <w:p>
      <w:pPr>
        <w:pStyle w:val="Normal"/>
        <w:jc w:val="both"/>
        <w:rPr>
          <w:rFonts w:ascii="Arial" w:hAnsi="Arial" w:cs="Arial"/>
          <w:sz w:val="22"/>
          <w:szCs w:val="22"/>
        </w:rPr>
      </w:pPr>
      <w:r>
        <w:rPr>
          <w:rFonts w:cs="Arial" w:ascii="Arial" w:hAnsi="Arial"/>
          <w:sz w:val="22"/>
          <w:szCs w:val="22"/>
        </w:rPr>
        <w:t>- secondo l'articolo 1, commi 557 e 557-quater, della Legge n. 296/2006, a decorrere dall’anno 2014 il parametro cui è ancorato il contenimento della spesa è la spesa media di personale del triennio 2011-2013, che assume pertanto un valore di riferimento statico; restano comunque ferme le limitazioni assunzionali vigenti, anche a tempo determinato e gli stanziamenti bilancio devono rimanere coerenti con le predette limitazioni;</w:t>
      </w:r>
    </w:p>
    <w:p>
      <w:pPr>
        <w:pStyle w:val="Normal"/>
        <w:jc w:val="both"/>
        <w:rPr>
          <w:rFonts w:ascii="Arial" w:hAnsi="Arial" w:cs="Arial"/>
          <w:sz w:val="22"/>
          <w:szCs w:val="22"/>
        </w:rPr>
      </w:pPr>
      <w:r>
        <w:rPr>
          <w:rFonts w:cs="Arial" w:ascii="Arial" w:hAnsi="Arial"/>
          <w:sz w:val="22"/>
          <w:szCs w:val="22"/>
        </w:rPr>
        <w:t>- Il DM 17/3/2020 non prevede per l'anno 2025 importi incrementali di spesa personale per gli enti virtuosi.</w:t>
      </w:r>
    </w:p>
    <w:p>
      <w:pPr>
        <w:pStyle w:val="Normal"/>
        <w:jc w:val="both"/>
        <w:rPr>
          <w:rFonts w:ascii="Arial" w:hAnsi="Arial" w:cs="Arial"/>
          <w:b/>
          <w:bCs/>
          <w:sz w:val="22"/>
          <w:szCs w:val="22"/>
        </w:rPr>
      </w:pPr>
      <w:r>
        <w:rPr>
          <w:rFonts w:cs="Arial" w:ascii="Arial" w:hAnsi="Arial"/>
          <w:sz w:val="22"/>
          <w:szCs w:val="22"/>
        </w:rPr>
        <w:t>- eventuali future assunzioni che venissero decise in seguito, saranno possibili nel limite del valore massimo di spesa di personale di € 21.077,13.</w:t>
      </w:r>
    </w:p>
    <w:tbl>
      <w:tblPr>
        <w:tblW w:w="9040" w:type="dxa"/>
        <w:jc w:val="left"/>
        <w:tblInd w:w="210" w:type="dxa"/>
        <w:tblLayout w:type="fixed"/>
        <w:tblCellMar>
          <w:top w:w="0" w:type="dxa"/>
          <w:left w:w="70" w:type="dxa"/>
          <w:bottom w:w="0" w:type="dxa"/>
          <w:right w:w="70" w:type="dxa"/>
        </w:tblCellMar>
        <w:tblLook w:val="04a0"/>
      </w:tblPr>
      <w:tblGrid>
        <w:gridCol w:w="2975"/>
        <w:gridCol w:w="1665"/>
        <w:gridCol w:w="1760"/>
        <w:gridCol w:w="1519"/>
        <w:gridCol w:w="1121"/>
      </w:tblGrid>
      <w:tr>
        <w:trPr>
          <w:trHeight w:val="315" w:hRule="atLeast"/>
        </w:trPr>
        <w:tc>
          <w:tcPr>
            <w:tcW w:w="4640" w:type="dxa"/>
            <w:gridSpan w:val="2"/>
            <w:tcBorders/>
            <w:vAlign w:val="bottom"/>
          </w:tcPr>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t>COMUNE DI MARANO SUL PANARO</w:t>
            </w:r>
          </w:p>
        </w:tc>
        <w:tc>
          <w:tcPr>
            <w:tcW w:w="1760" w:type="dxa"/>
            <w:tcBorders/>
            <w:vAlign w:val="bottom"/>
          </w:tcPr>
          <w:p>
            <w:pPr>
              <w:pStyle w:val="Normal"/>
              <w:rPr>
                <w:rFonts w:ascii="Arial" w:hAnsi="Arial" w:cs="Arial"/>
                <w:b/>
                <w:bCs/>
              </w:rPr>
            </w:pPr>
            <w:r>
              <w:rPr>
                <w:rFonts w:cs="Arial" w:ascii="Arial" w:hAnsi="Arial"/>
                <w:b/>
                <w:bCs/>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exact"/>
        </w:trPr>
        <w:tc>
          <w:tcPr>
            <w:tcW w:w="2975" w:type="dxa"/>
            <w:tcBorders/>
            <w:vAlign w:val="bottom"/>
          </w:tcPr>
          <w:p>
            <w:pPr>
              <w:pStyle w:val="Normal"/>
              <w:rPr>
                <w:sz w:val="20"/>
                <w:szCs w:val="20"/>
              </w:rPr>
            </w:pPr>
            <w:r>
              <w:rPr>
                <w:sz w:val="20"/>
                <w:szCs w:val="20"/>
              </w:rPr>
            </w:r>
          </w:p>
        </w:tc>
        <w:tc>
          <w:tcPr>
            <w:tcW w:w="1665" w:type="dxa"/>
            <w:tcBorders/>
            <w:vAlign w:val="bottom"/>
          </w:tcPr>
          <w:p>
            <w:pPr>
              <w:pStyle w:val="Normal"/>
              <w:rPr>
                <w:sz w:val="20"/>
                <w:szCs w:val="20"/>
              </w:rPr>
            </w:pPr>
            <w:r>
              <w:rPr>
                <w:sz w:val="20"/>
                <w:szCs w:val="20"/>
              </w:rPr>
            </w:r>
          </w:p>
        </w:tc>
        <w:tc>
          <w:tcPr>
            <w:tcW w:w="1760" w:type="dxa"/>
            <w:tcBorders/>
            <w:vAlign w:val="bottom"/>
          </w:tcPr>
          <w:p>
            <w:pPr>
              <w:pStyle w:val="Normal"/>
              <w:rPr>
                <w:sz w:val="20"/>
                <w:szCs w:val="20"/>
              </w:rPr>
            </w:pPr>
            <w:r>
              <w:rPr>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315" w:hRule="atLeast"/>
        </w:trPr>
        <w:tc>
          <w:tcPr>
            <w:tcW w:w="6400" w:type="dxa"/>
            <w:gridSpan w:val="3"/>
            <w:tcBorders/>
            <w:vAlign w:val="bottom"/>
          </w:tcPr>
          <w:p>
            <w:pPr>
              <w:pStyle w:val="Normal"/>
              <w:rPr>
                <w:rFonts w:ascii="Arial" w:hAnsi="Arial" w:cs="Arial"/>
                <w:b/>
                <w:bCs/>
              </w:rPr>
            </w:pPr>
            <w:r>
              <w:rPr>
                <w:rFonts w:cs="Arial" w:ascii="Arial" w:hAnsi="Arial"/>
                <w:b/>
                <w:bCs/>
              </w:rPr>
              <w:t>CALCOLO RAPPORTO SPESA/ENTRATE</w:t>
            </w:r>
          </w:p>
        </w:tc>
        <w:tc>
          <w:tcPr>
            <w:tcW w:w="1519" w:type="dxa"/>
            <w:tcBorders>
              <w:top w:val="single" w:sz="4" w:space="0" w:color="000000"/>
              <w:left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FASCIA E</w:t>
            </w:r>
          </w:p>
        </w:tc>
        <w:tc>
          <w:tcPr>
            <w:tcW w:w="1121" w:type="dxa"/>
            <w:tcBorders/>
            <w:vAlign w:val="bottom"/>
          </w:tcPr>
          <w:p>
            <w:pPr>
              <w:pStyle w:val="Normal"/>
              <w:rPr>
                <w:rFonts w:ascii="Arial" w:hAnsi="Arial" w:cs="Arial"/>
                <w:sz w:val="20"/>
                <w:szCs w:val="20"/>
              </w:rPr>
            </w:pPr>
            <w:r>
              <w:rPr>
                <w:rFonts w:cs="Arial" w:ascii="Arial" w:hAnsi="Arial"/>
                <w:sz w:val="20"/>
                <w:szCs w:val="20"/>
              </w:rPr>
            </w:r>
          </w:p>
        </w:tc>
      </w:tr>
      <w:tr>
        <w:trPr>
          <w:trHeight w:val="405" w:hRule="atLeast"/>
        </w:trPr>
        <w:tc>
          <w:tcPr>
            <w:tcW w:w="2975" w:type="dxa"/>
            <w:tcBorders/>
            <w:vAlign w:val="bottom"/>
          </w:tcPr>
          <w:p>
            <w:pPr>
              <w:pStyle w:val="Normal"/>
              <w:rPr>
                <w:rFonts w:ascii="Arial" w:hAnsi="Arial" w:cs="Arial"/>
                <w:b/>
                <w:bCs/>
                <w:sz w:val="20"/>
                <w:szCs w:val="20"/>
              </w:rPr>
            </w:pPr>
            <w:r>
              <w:rPr>
                <w:rFonts w:cs="Arial" w:ascii="Arial" w:hAnsi="Arial"/>
                <w:b/>
                <w:bCs/>
                <w:sz w:val="20"/>
                <w:szCs w:val="20"/>
              </w:rPr>
              <w:t>MACROAGGREGATO BDAP</w:t>
            </w:r>
          </w:p>
        </w:tc>
        <w:tc>
          <w:tcPr>
            <w:tcW w:w="1665" w:type="dxa"/>
            <w:tcBorders/>
            <w:vAlign w:val="bottom"/>
          </w:tcPr>
          <w:p>
            <w:pPr>
              <w:pStyle w:val="Normal"/>
              <w:rPr>
                <w:rFonts w:ascii="Arial" w:hAnsi="Arial" w:cs="Arial"/>
                <w:b/>
                <w:bCs/>
                <w:sz w:val="20"/>
                <w:szCs w:val="20"/>
              </w:rPr>
            </w:pPr>
            <w:r>
              <w:rPr>
                <w:rFonts w:cs="Arial" w:ascii="Arial" w:hAnsi="Arial"/>
                <w:b/>
                <w:bCs/>
                <w:sz w:val="20"/>
                <w:szCs w:val="20"/>
              </w:rPr>
            </w:r>
          </w:p>
        </w:tc>
        <w:tc>
          <w:tcPr>
            <w:tcW w:w="1760" w:type="dxa"/>
            <w:tcBorders/>
            <w:vAlign w:val="bottom"/>
          </w:tcPr>
          <w:p>
            <w:pPr>
              <w:pStyle w:val="Normal"/>
              <w:rPr>
                <w:sz w:val="20"/>
                <w:szCs w:val="20"/>
              </w:rPr>
            </w:pPr>
            <w:r>
              <w:rPr>
                <w:sz w:val="20"/>
                <w:szCs w:val="20"/>
              </w:rPr>
            </w:r>
          </w:p>
        </w:tc>
        <w:tc>
          <w:tcPr>
            <w:tcW w:w="1519" w:type="dxa"/>
            <w:tcBorders>
              <w:left w:val="single" w:sz="4" w:space="0" w:color="000000"/>
              <w:bottom w:val="single" w:sz="4" w:space="0" w:color="000000"/>
              <w:right w:val="single" w:sz="4" w:space="0" w:color="000000"/>
            </w:tcBorders>
            <w:vAlign w:val="bottom"/>
          </w:tcPr>
          <w:p>
            <w:pPr>
              <w:pStyle w:val="Normal"/>
              <w:jc w:val="center"/>
              <w:rPr>
                <w:rFonts w:ascii="Arial" w:hAnsi="Arial" w:cs="Arial"/>
                <w:sz w:val="20"/>
                <w:szCs w:val="20"/>
              </w:rPr>
            </w:pPr>
            <w:r>
              <w:rPr>
                <w:rFonts w:cs="Arial" w:ascii="Arial" w:hAnsi="Arial"/>
                <w:sz w:val="20"/>
                <w:szCs w:val="20"/>
              </w:rPr>
              <w:t>%tab 1</w:t>
            </w:r>
          </w:p>
        </w:tc>
        <w:tc>
          <w:tcPr>
            <w:tcW w:w="1121" w:type="dxa"/>
            <w:tcBorders>
              <w:top w:val="single" w:sz="4" w:space="0" w:color="000000"/>
              <w:bottom w:val="single" w:sz="4" w:space="0" w:color="000000"/>
              <w:right w:val="single" w:sz="4" w:space="0" w:color="000000"/>
            </w:tcBorders>
            <w:vAlign w:val="bottom"/>
          </w:tcPr>
          <w:p>
            <w:pPr>
              <w:pStyle w:val="Normal"/>
              <w:jc w:val="center"/>
              <w:rPr>
                <w:rFonts w:ascii="Arial" w:hAnsi="Arial" w:cs="Arial"/>
                <w:sz w:val="20"/>
                <w:szCs w:val="20"/>
              </w:rPr>
            </w:pPr>
            <w:r>
              <w:rPr>
                <w:rFonts w:cs="Arial" w:ascii="Arial" w:hAnsi="Arial"/>
                <w:sz w:val="20"/>
                <w:szCs w:val="20"/>
              </w:rPr>
              <w:t>%tab 3</w:t>
            </w:r>
          </w:p>
        </w:tc>
      </w:tr>
      <w:tr>
        <w:trPr>
          <w:trHeight w:val="390" w:hRule="atLeast"/>
        </w:trPr>
        <w:tc>
          <w:tcPr>
            <w:tcW w:w="2975" w:type="dxa"/>
            <w:tcBorders/>
            <w:vAlign w:val="bottom"/>
          </w:tcPr>
          <w:p>
            <w:pPr>
              <w:pStyle w:val="Normal"/>
              <w:rPr>
                <w:rFonts w:ascii="Arial" w:hAnsi="Arial" w:cs="Arial"/>
                <w:b/>
                <w:bCs/>
                <w:sz w:val="20"/>
                <w:szCs w:val="20"/>
              </w:rPr>
            </w:pPr>
            <w:r>
              <w:rPr>
                <w:rFonts w:cs="Arial" w:ascii="Arial" w:hAnsi="Arial"/>
                <w:b/>
                <w:bCs/>
                <w:sz w:val="20"/>
                <w:szCs w:val="20"/>
              </w:rPr>
              <w:t>Codici di spesa REND.2024</w:t>
            </w:r>
          </w:p>
        </w:tc>
        <w:tc>
          <w:tcPr>
            <w:tcW w:w="1665" w:type="dxa"/>
            <w:tcBorders/>
            <w:vAlign w:val="bottom"/>
          </w:tcPr>
          <w:p>
            <w:pPr>
              <w:pStyle w:val="Normal"/>
              <w:jc w:val="center"/>
              <w:rPr>
                <w:rFonts w:ascii="Arial" w:hAnsi="Arial" w:cs="Arial"/>
                <w:b/>
                <w:bCs/>
                <w:sz w:val="20"/>
                <w:szCs w:val="20"/>
              </w:rPr>
            </w:pPr>
            <w:r>
              <w:rPr>
                <w:rFonts w:cs="Arial" w:ascii="Arial" w:hAnsi="Arial"/>
                <w:b/>
                <w:bCs/>
                <w:sz w:val="20"/>
                <w:szCs w:val="20"/>
              </w:rPr>
              <w:t>IMPORTO</w:t>
            </w:r>
          </w:p>
        </w:tc>
        <w:tc>
          <w:tcPr>
            <w:tcW w:w="1760" w:type="dxa"/>
            <w:tcBorders/>
            <w:vAlign w:val="bottom"/>
          </w:tcPr>
          <w:p>
            <w:pPr>
              <w:pStyle w:val="Normal"/>
              <w:jc w:val="center"/>
              <w:rPr>
                <w:rFonts w:ascii="Arial" w:hAnsi="Arial" w:cs="Arial"/>
                <w:b/>
                <w:bCs/>
                <w:sz w:val="20"/>
                <w:szCs w:val="20"/>
              </w:rPr>
            </w:pPr>
            <w:r>
              <w:rPr>
                <w:rFonts w:cs="Arial" w:ascii="Arial" w:hAnsi="Arial"/>
                <w:b/>
                <w:bCs/>
                <w:sz w:val="20"/>
                <w:szCs w:val="20"/>
              </w:rPr>
            </w:r>
          </w:p>
        </w:tc>
        <w:tc>
          <w:tcPr>
            <w:tcW w:w="1519" w:type="dxa"/>
            <w:tcBorders>
              <w:left w:val="single" w:sz="4" w:space="0" w:color="000000"/>
              <w:bottom w:val="single" w:sz="4" w:space="0" w:color="000000"/>
              <w:right w:val="single" w:sz="4" w:space="0" w:color="000000"/>
            </w:tcBorders>
            <w:vAlign w:val="bottom"/>
          </w:tcPr>
          <w:p>
            <w:pPr>
              <w:pStyle w:val="Normal"/>
              <w:jc w:val="center"/>
              <w:rPr>
                <w:rFonts w:ascii="Arial" w:hAnsi="Arial" w:cs="Arial"/>
                <w:sz w:val="20"/>
                <w:szCs w:val="20"/>
              </w:rPr>
            </w:pPr>
            <w:r>
              <w:rPr>
                <w:rFonts w:cs="Arial" w:ascii="Arial" w:hAnsi="Arial"/>
                <w:sz w:val="20"/>
                <w:szCs w:val="20"/>
              </w:rPr>
              <w:t>26,90%</w:t>
            </w:r>
          </w:p>
        </w:tc>
        <w:tc>
          <w:tcPr>
            <w:tcW w:w="1121" w:type="dxa"/>
            <w:tcBorders>
              <w:bottom w:val="single" w:sz="4" w:space="0" w:color="000000"/>
              <w:right w:val="single" w:sz="4" w:space="0" w:color="000000"/>
            </w:tcBorders>
            <w:vAlign w:val="bottom"/>
          </w:tcPr>
          <w:p>
            <w:pPr>
              <w:pStyle w:val="Normal"/>
              <w:jc w:val="center"/>
              <w:rPr>
                <w:rFonts w:ascii="Arial" w:hAnsi="Arial" w:cs="Arial"/>
                <w:sz w:val="20"/>
                <w:szCs w:val="20"/>
              </w:rPr>
            </w:pPr>
            <w:r>
              <w:rPr>
                <w:rFonts w:cs="Arial" w:ascii="Arial" w:hAnsi="Arial"/>
                <w:sz w:val="20"/>
                <w:szCs w:val="20"/>
              </w:rPr>
              <w:t>30,90%</w:t>
            </w:r>
          </w:p>
        </w:tc>
      </w:tr>
      <w:tr>
        <w:trPr>
          <w:trHeight w:val="255" w:hRule="atLeast"/>
        </w:trPr>
        <w:tc>
          <w:tcPr>
            <w:tcW w:w="2975" w:type="dxa"/>
            <w:tcBorders>
              <w:top w:val="single" w:sz="4" w:space="0" w:color="000000"/>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U1.01.00.00.000</w:t>
            </w:r>
          </w:p>
        </w:tc>
        <w:tc>
          <w:tcPr>
            <w:tcW w:w="1665" w:type="dxa"/>
            <w:tcBorders>
              <w:top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666.204,07</w:t>
            </w:r>
          </w:p>
        </w:tc>
        <w:tc>
          <w:tcPr>
            <w:tcW w:w="1760" w:type="dxa"/>
            <w:tcBorders/>
            <w:vAlign w:val="bottom"/>
          </w:tcPr>
          <w:p>
            <w:pPr>
              <w:pStyle w:val="Normal"/>
              <w:rPr>
                <w:rFonts w:ascii="Arial" w:hAnsi="Arial" w:cs="Arial"/>
                <w:sz w:val="20"/>
                <w:szCs w:val="20"/>
              </w:rPr>
            </w:pPr>
            <w:r>
              <w:rPr>
                <w:rFonts w:cs="Arial" w:ascii="Arial" w:hAnsi="Arial"/>
                <w:sz w:val="20"/>
                <w:szCs w:val="20"/>
              </w:rPr>
              <w:t>macroaggregato 1</w:t>
            </w:r>
          </w:p>
        </w:tc>
        <w:tc>
          <w:tcPr>
            <w:tcW w:w="1519" w:type="dxa"/>
            <w:tcBorders/>
            <w:vAlign w:val="bottom"/>
          </w:tcPr>
          <w:p>
            <w:pPr>
              <w:pStyle w:val="Normal"/>
              <w:rPr>
                <w:rFonts w:ascii="Arial" w:hAnsi="Arial" w:cs="Arial"/>
                <w:sz w:val="20"/>
                <w:szCs w:val="20"/>
              </w:rPr>
            </w:pPr>
            <w:r>
              <w:rPr>
                <w:rFonts w:cs="Arial" w:ascii="Arial" w:hAnsi="Arial"/>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U1.03.02.12.001</w:t>
            </w:r>
          </w:p>
        </w:tc>
        <w:tc>
          <w:tcPr>
            <w:tcW w:w="1665" w:type="dxa"/>
            <w:tcBorders>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r>
          </w:p>
        </w:tc>
        <w:tc>
          <w:tcPr>
            <w:tcW w:w="1760" w:type="dxa"/>
            <w:tcBorders/>
            <w:vAlign w:val="bottom"/>
          </w:tcPr>
          <w:p>
            <w:pPr>
              <w:pStyle w:val="Normal"/>
              <w:rPr>
                <w:rFonts w:ascii="Arial" w:hAnsi="Arial" w:cs="Arial"/>
                <w:sz w:val="20"/>
                <w:szCs w:val="20"/>
              </w:rPr>
            </w:pPr>
            <w:r>
              <w:rPr>
                <w:rFonts w:cs="Arial" w:ascii="Arial" w:hAnsi="Arial"/>
                <w:sz w:val="20"/>
                <w:szCs w:val="20"/>
              </w:rPr>
              <w:t>lavoro interinale</w:t>
            </w:r>
          </w:p>
        </w:tc>
        <w:tc>
          <w:tcPr>
            <w:tcW w:w="1519" w:type="dxa"/>
            <w:tcBorders/>
            <w:vAlign w:val="bottom"/>
          </w:tcPr>
          <w:p>
            <w:pPr>
              <w:pStyle w:val="Normal"/>
              <w:rPr>
                <w:rFonts w:ascii="Arial" w:hAnsi="Arial" w:cs="Arial"/>
                <w:sz w:val="20"/>
                <w:szCs w:val="20"/>
              </w:rPr>
            </w:pPr>
            <w:r>
              <w:rPr>
                <w:rFonts w:cs="Arial" w:ascii="Arial" w:hAnsi="Arial"/>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U1.03.02.12.002</w:t>
            </w:r>
          </w:p>
        </w:tc>
        <w:tc>
          <w:tcPr>
            <w:tcW w:w="1665" w:type="dxa"/>
            <w:tcBorders>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r>
          </w:p>
        </w:tc>
        <w:tc>
          <w:tcPr>
            <w:tcW w:w="1760" w:type="dxa"/>
            <w:tcBorders/>
            <w:vAlign w:val="bottom"/>
          </w:tcPr>
          <w:p>
            <w:pPr>
              <w:pStyle w:val="Normal"/>
              <w:rPr>
                <w:rFonts w:ascii="Arial" w:hAnsi="Arial" w:cs="Arial"/>
                <w:sz w:val="20"/>
                <w:szCs w:val="20"/>
              </w:rPr>
            </w:pPr>
            <w:r>
              <w:rPr>
                <w:rFonts w:cs="Arial" w:ascii="Arial" w:hAnsi="Arial"/>
                <w:sz w:val="20"/>
                <w:szCs w:val="20"/>
              </w:rPr>
              <w:t>quota LSU</w:t>
            </w:r>
          </w:p>
        </w:tc>
        <w:tc>
          <w:tcPr>
            <w:tcW w:w="1519" w:type="dxa"/>
            <w:tcBorders/>
            <w:vAlign w:val="bottom"/>
          </w:tcPr>
          <w:p>
            <w:pPr>
              <w:pStyle w:val="Normal"/>
              <w:rPr>
                <w:rFonts w:ascii="Arial" w:hAnsi="Arial" w:cs="Arial"/>
                <w:sz w:val="20"/>
                <w:szCs w:val="20"/>
              </w:rPr>
            </w:pPr>
            <w:r>
              <w:rPr>
                <w:rFonts w:cs="Arial" w:ascii="Arial" w:hAnsi="Arial"/>
                <w:sz w:val="20"/>
                <w:szCs w:val="20"/>
              </w:rPr>
            </w:r>
          </w:p>
        </w:tc>
        <w:tc>
          <w:tcPr>
            <w:tcW w:w="1121" w:type="dxa"/>
            <w:tcBorders/>
            <w:vAlign w:val="bottom"/>
          </w:tcPr>
          <w:p>
            <w:pPr>
              <w:pStyle w:val="Normal"/>
              <w:rPr>
                <w:sz w:val="20"/>
                <w:szCs w:val="20"/>
              </w:rPr>
            </w:pPr>
            <w:r>
              <w:rPr>
                <w:sz w:val="20"/>
                <w:szCs w:val="20"/>
              </w:rPr>
            </w:r>
          </w:p>
        </w:tc>
      </w:tr>
      <w:tr>
        <w:trPr>
          <w:trHeight w:val="510"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U1.03.02.12.003</w:t>
            </w:r>
          </w:p>
        </w:tc>
        <w:tc>
          <w:tcPr>
            <w:tcW w:w="1665" w:type="dxa"/>
            <w:tcBorders>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r>
          </w:p>
        </w:tc>
        <w:tc>
          <w:tcPr>
            <w:tcW w:w="1760" w:type="dxa"/>
            <w:tcBorders/>
            <w:vAlign w:val="bottom"/>
          </w:tcPr>
          <w:p>
            <w:pPr>
              <w:pStyle w:val="Normal"/>
              <w:rPr>
                <w:rFonts w:ascii="Arial" w:hAnsi="Arial" w:cs="Arial"/>
                <w:sz w:val="20"/>
                <w:szCs w:val="20"/>
              </w:rPr>
            </w:pPr>
            <w:r>
              <w:rPr>
                <w:rFonts w:cs="Arial" w:ascii="Arial" w:hAnsi="Arial"/>
                <w:sz w:val="20"/>
                <w:szCs w:val="20"/>
              </w:rPr>
              <w:t>collab.coordinate e a progetto</w:t>
            </w:r>
          </w:p>
        </w:tc>
        <w:tc>
          <w:tcPr>
            <w:tcW w:w="1519" w:type="dxa"/>
            <w:tcBorders/>
            <w:vAlign w:val="bottom"/>
          </w:tcPr>
          <w:p>
            <w:pPr>
              <w:pStyle w:val="Normal"/>
              <w:rPr>
                <w:rFonts w:ascii="Arial" w:hAnsi="Arial" w:cs="Arial"/>
                <w:sz w:val="20"/>
                <w:szCs w:val="20"/>
              </w:rPr>
            </w:pPr>
            <w:r>
              <w:rPr>
                <w:rFonts w:cs="Arial" w:ascii="Arial" w:hAnsi="Arial"/>
                <w:sz w:val="20"/>
                <w:szCs w:val="20"/>
              </w:rPr>
            </w:r>
          </w:p>
        </w:tc>
        <w:tc>
          <w:tcPr>
            <w:tcW w:w="1121" w:type="dxa"/>
            <w:tcBorders/>
            <w:vAlign w:val="bottom"/>
          </w:tcPr>
          <w:p>
            <w:pPr>
              <w:pStyle w:val="Normal"/>
              <w:rPr>
                <w:sz w:val="20"/>
                <w:szCs w:val="20"/>
              </w:rPr>
            </w:pPr>
            <w:r>
              <w:rPr>
                <w:sz w:val="20"/>
                <w:szCs w:val="20"/>
              </w:rPr>
            </w:r>
          </w:p>
        </w:tc>
      </w:tr>
      <w:tr>
        <w:trPr>
          <w:trHeight w:val="510"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U1.03.02.12.999</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5.675,00</w:t>
            </w:r>
          </w:p>
        </w:tc>
        <w:tc>
          <w:tcPr>
            <w:tcW w:w="1760" w:type="dxa"/>
            <w:tcBorders/>
            <w:vAlign w:val="bottom"/>
          </w:tcPr>
          <w:p>
            <w:pPr>
              <w:pStyle w:val="Normal"/>
              <w:rPr>
                <w:rFonts w:ascii="Arial" w:hAnsi="Arial" w:cs="Arial"/>
                <w:sz w:val="20"/>
                <w:szCs w:val="20"/>
              </w:rPr>
            </w:pPr>
            <w:r>
              <w:rPr>
                <w:rFonts w:cs="Arial" w:ascii="Arial" w:hAnsi="Arial"/>
                <w:sz w:val="20"/>
                <w:szCs w:val="20"/>
              </w:rPr>
              <w:t>altre forme di lavoro flessibile</w:t>
            </w:r>
          </w:p>
        </w:tc>
        <w:tc>
          <w:tcPr>
            <w:tcW w:w="1519" w:type="dxa"/>
            <w:tcBorders/>
            <w:vAlign w:val="bottom"/>
          </w:tcPr>
          <w:p>
            <w:pPr>
              <w:pStyle w:val="Normal"/>
              <w:rPr>
                <w:rFonts w:ascii="Arial" w:hAnsi="Arial" w:cs="Arial"/>
                <w:sz w:val="20"/>
                <w:szCs w:val="20"/>
              </w:rPr>
            </w:pPr>
            <w:r>
              <w:rPr>
                <w:rFonts w:cs="Arial" w:ascii="Arial" w:hAnsi="Arial"/>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CONVENZIONE SEGRETARIO</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9.360,04</w:t>
            </w:r>
          </w:p>
        </w:tc>
        <w:tc>
          <w:tcPr>
            <w:tcW w:w="1760" w:type="dxa"/>
            <w:tcBorders/>
            <w:vAlign w:val="bottom"/>
          </w:tcPr>
          <w:p>
            <w:pPr>
              <w:pStyle w:val="Normal"/>
              <w:jc w:val="right"/>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COMANDI IN ENTRATA</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9.552,00</w:t>
            </w:r>
          </w:p>
        </w:tc>
        <w:tc>
          <w:tcPr>
            <w:tcW w:w="1760" w:type="dxa"/>
            <w:tcBorders/>
            <w:vAlign w:val="bottom"/>
          </w:tcPr>
          <w:p>
            <w:pPr>
              <w:pStyle w:val="Normal"/>
              <w:jc w:val="right"/>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SPESE UNIONE</w:t>
            </w:r>
          </w:p>
        </w:tc>
        <w:tc>
          <w:tcPr>
            <w:tcW w:w="1665" w:type="dxa"/>
            <w:tcBorders>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478.869,37</w:t>
            </w:r>
          </w:p>
        </w:tc>
        <w:tc>
          <w:tcPr>
            <w:tcW w:w="1760" w:type="dxa"/>
            <w:tcBorders/>
            <w:vAlign w:val="bottom"/>
          </w:tcPr>
          <w:p>
            <w:pPr>
              <w:pStyle w:val="Normal"/>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SPESE ASP</w:t>
            </w:r>
          </w:p>
        </w:tc>
        <w:tc>
          <w:tcPr>
            <w:tcW w:w="1665" w:type="dxa"/>
            <w:tcBorders>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292.429,43</w:t>
            </w:r>
          </w:p>
        </w:tc>
        <w:tc>
          <w:tcPr>
            <w:tcW w:w="1760" w:type="dxa"/>
            <w:tcBorders/>
            <w:vAlign w:val="bottom"/>
          </w:tcPr>
          <w:p>
            <w:pPr>
              <w:pStyle w:val="Normal"/>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510"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b/>
                <w:bCs/>
                <w:sz w:val="20"/>
                <w:szCs w:val="20"/>
              </w:rPr>
            </w:pPr>
            <w:r>
              <w:rPr>
                <w:rFonts w:cs="Arial" w:ascii="Arial" w:hAnsi="Arial"/>
                <w:b/>
                <w:bCs/>
                <w:sz w:val="20"/>
                <w:szCs w:val="20"/>
              </w:rPr>
              <w:t>totale IMPEGNI COMPETENZA RENDICONTO 2024</w:t>
            </w:r>
          </w:p>
        </w:tc>
        <w:tc>
          <w:tcPr>
            <w:tcW w:w="1665" w:type="dxa"/>
            <w:tcBorders>
              <w:bottom w:val="single" w:sz="4" w:space="0" w:color="000000"/>
              <w:right w:val="single" w:sz="4" w:space="0" w:color="000000"/>
            </w:tcBorders>
            <w:vAlign w:val="bottom"/>
          </w:tcPr>
          <w:p>
            <w:pPr>
              <w:pStyle w:val="Normal"/>
              <w:jc w:val="right"/>
              <w:rPr>
                <w:rFonts w:ascii="Arial" w:hAnsi="Arial" w:cs="Arial"/>
                <w:b/>
                <w:bCs/>
                <w:sz w:val="20"/>
                <w:szCs w:val="20"/>
              </w:rPr>
            </w:pPr>
            <w:r>
              <w:rPr>
                <w:rFonts w:cs="Arial" w:ascii="Arial" w:hAnsi="Arial"/>
                <w:b/>
                <w:bCs/>
                <w:sz w:val="20"/>
                <w:szCs w:val="20"/>
              </w:rPr>
              <w:t>1.462.089,91</w:t>
            </w:r>
          </w:p>
        </w:tc>
        <w:tc>
          <w:tcPr>
            <w:tcW w:w="1760" w:type="dxa"/>
            <w:tcBorders/>
            <w:vAlign w:val="bottom"/>
          </w:tcPr>
          <w:p>
            <w:pPr>
              <w:pStyle w:val="Normal"/>
              <w:jc w:val="right"/>
              <w:rPr>
                <w:rFonts w:ascii="Arial" w:hAnsi="Arial" w:cs="Arial"/>
                <w:b/>
                <w:bCs/>
                <w:sz w:val="20"/>
                <w:szCs w:val="20"/>
              </w:rPr>
            </w:pPr>
            <w:r>
              <w:rPr>
                <w:rFonts w:cs="Arial" w:ascii="Arial" w:hAnsi="Arial"/>
                <w:b/>
                <w:bCs/>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vAlign w:val="bottom"/>
          </w:tcPr>
          <w:p>
            <w:pPr>
              <w:pStyle w:val="Normal"/>
              <w:rPr>
                <w:sz w:val="20"/>
                <w:szCs w:val="20"/>
              </w:rPr>
            </w:pPr>
            <w:r>
              <w:rPr>
                <w:sz w:val="20"/>
                <w:szCs w:val="20"/>
              </w:rPr>
            </w:r>
          </w:p>
          <w:p>
            <w:pPr>
              <w:pStyle w:val="Normal"/>
              <w:rPr>
                <w:sz w:val="20"/>
                <w:szCs w:val="20"/>
              </w:rPr>
            </w:pPr>
            <w:r>
              <w:rPr>
                <w:sz w:val="20"/>
                <w:szCs w:val="20"/>
              </w:rPr>
            </w:r>
          </w:p>
        </w:tc>
        <w:tc>
          <w:tcPr>
            <w:tcW w:w="1665" w:type="dxa"/>
            <w:tcBorders/>
            <w:vAlign w:val="bottom"/>
          </w:tcPr>
          <w:p>
            <w:pPr>
              <w:pStyle w:val="Normal"/>
              <w:rPr>
                <w:sz w:val="20"/>
                <w:szCs w:val="20"/>
              </w:rPr>
            </w:pPr>
            <w:r>
              <w:rPr>
                <w:sz w:val="20"/>
                <w:szCs w:val="20"/>
              </w:rPr>
            </w:r>
          </w:p>
        </w:tc>
        <w:tc>
          <w:tcPr>
            <w:tcW w:w="1760" w:type="dxa"/>
            <w:tcBorders/>
            <w:vAlign w:val="bottom"/>
          </w:tcPr>
          <w:p>
            <w:pPr>
              <w:pStyle w:val="Normal"/>
              <w:rPr>
                <w:sz w:val="20"/>
                <w:szCs w:val="20"/>
              </w:rPr>
            </w:pPr>
            <w:r>
              <w:rPr>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exact"/>
        </w:trPr>
        <w:tc>
          <w:tcPr>
            <w:tcW w:w="2975" w:type="dxa"/>
            <w:tcBorders/>
            <w:vAlign w:val="bottom"/>
          </w:tcPr>
          <w:p>
            <w:pPr>
              <w:pStyle w:val="Normal"/>
              <w:rPr>
                <w:sz w:val="20"/>
                <w:szCs w:val="20"/>
              </w:rPr>
            </w:pPr>
            <w:r>
              <w:rPr>
                <w:sz w:val="20"/>
                <w:szCs w:val="20"/>
              </w:rPr>
            </w:r>
          </w:p>
        </w:tc>
        <w:tc>
          <w:tcPr>
            <w:tcW w:w="1665" w:type="dxa"/>
            <w:tcBorders/>
            <w:vAlign w:val="bottom"/>
          </w:tcPr>
          <w:p>
            <w:pPr>
              <w:pStyle w:val="Normal"/>
              <w:rPr>
                <w:sz w:val="20"/>
                <w:szCs w:val="20"/>
              </w:rPr>
            </w:pPr>
            <w:r>
              <w:rPr>
                <w:sz w:val="20"/>
                <w:szCs w:val="20"/>
              </w:rPr>
            </w:r>
          </w:p>
        </w:tc>
        <w:tc>
          <w:tcPr>
            <w:tcW w:w="1760" w:type="dxa"/>
            <w:tcBorders/>
            <w:vAlign w:val="bottom"/>
          </w:tcPr>
          <w:p>
            <w:pPr>
              <w:pStyle w:val="Normal"/>
              <w:rPr>
                <w:sz w:val="20"/>
                <w:szCs w:val="20"/>
              </w:rPr>
            </w:pPr>
            <w:r>
              <w:rPr>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top w:val="single" w:sz="4" w:space="0" w:color="000000"/>
              <w:left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ENTRATE CORRENTI</w:t>
            </w:r>
          </w:p>
        </w:tc>
        <w:tc>
          <w:tcPr>
            <w:tcW w:w="1665" w:type="dxa"/>
            <w:tcBorders>
              <w:top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ANNO 2022</w:t>
            </w:r>
          </w:p>
        </w:tc>
        <w:tc>
          <w:tcPr>
            <w:tcW w:w="1760" w:type="dxa"/>
            <w:tcBorders>
              <w:top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ANNO 2023</w:t>
            </w:r>
          </w:p>
        </w:tc>
        <w:tc>
          <w:tcPr>
            <w:tcW w:w="1519" w:type="dxa"/>
            <w:tcBorders>
              <w:top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ANNO 2024</w:t>
            </w:r>
          </w:p>
        </w:tc>
        <w:tc>
          <w:tcPr>
            <w:tcW w:w="1121" w:type="dxa"/>
            <w:tcBorders/>
            <w:vAlign w:val="bottom"/>
          </w:tcPr>
          <w:p>
            <w:pPr>
              <w:pStyle w:val="Normal"/>
              <w:rPr>
                <w:rFonts w:ascii="Arial" w:hAnsi="Arial" w:cs="Arial"/>
                <w:sz w:val="20"/>
                <w:szCs w:val="20"/>
              </w:rPr>
            </w:pPr>
            <w:r>
              <w:rPr>
                <w:rFonts w:cs="Arial" w:ascii="Arial" w:hAnsi="Arial"/>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TITOLO 1</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3.050.136,27</w:t>
            </w:r>
          </w:p>
        </w:tc>
        <w:tc>
          <w:tcPr>
            <w:tcW w:w="1760"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2.986.466,26</w:t>
            </w:r>
          </w:p>
        </w:tc>
        <w:tc>
          <w:tcPr>
            <w:tcW w:w="1519"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2.860.232,19</w:t>
            </w:r>
          </w:p>
        </w:tc>
        <w:tc>
          <w:tcPr>
            <w:tcW w:w="1121" w:type="dxa"/>
            <w:tcBorders/>
            <w:vAlign w:val="bottom"/>
          </w:tcPr>
          <w:p>
            <w:pPr>
              <w:pStyle w:val="Normal"/>
              <w:jc w:val="right"/>
              <w:rPr>
                <w:rFonts w:ascii="Arial" w:hAnsi="Arial" w:cs="Arial"/>
                <w:sz w:val="20"/>
                <w:szCs w:val="20"/>
              </w:rPr>
            </w:pPr>
            <w:r>
              <w:rPr>
                <w:rFonts w:cs="Arial" w:ascii="Arial" w:hAnsi="Arial"/>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TCP ATTRIBUTA AL GESTORE</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737.169,03</w:t>
            </w:r>
          </w:p>
        </w:tc>
        <w:tc>
          <w:tcPr>
            <w:tcW w:w="1760"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746.732,04</w:t>
            </w:r>
          </w:p>
        </w:tc>
        <w:tc>
          <w:tcPr>
            <w:tcW w:w="1519"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771.894,55</w:t>
            </w:r>
          </w:p>
        </w:tc>
        <w:tc>
          <w:tcPr>
            <w:tcW w:w="1121" w:type="dxa"/>
            <w:tcBorders/>
            <w:vAlign w:val="bottom"/>
          </w:tcPr>
          <w:p>
            <w:pPr>
              <w:pStyle w:val="Normal"/>
              <w:jc w:val="right"/>
              <w:rPr>
                <w:rFonts w:ascii="Arial" w:hAnsi="Arial" w:cs="Arial"/>
                <w:sz w:val="20"/>
                <w:szCs w:val="20"/>
              </w:rPr>
            </w:pPr>
            <w:r>
              <w:rPr>
                <w:rFonts w:cs="Arial" w:ascii="Arial" w:hAnsi="Arial"/>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TITOLO 2</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220.986,64</w:t>
            </w:r>
          </w:p>
        </w:tc>
        <w:tc>
          <w:tcPr>
            <w:tcW w:w="1760"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262.010,72</w:t>
            </w:r>
          </w:p>
        </w:tc>
        <w:tc>
          <w:tcPr>
            <w:tcW w:w="1519"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181.630,37</w:t>
            </w:r>
          </w:p>
        </w:tc>
        <w:tc>
          <w:tcPr>
            <w:tcW w:w="1121" w:type="dxa"/>
            <w:tcBorders/>
            <w:vAlign w:val="bottom"/>
          </w:tcPr>
          <w:p>
            <w:pPr>
              <w:pStyle w:val="Normal"/>
              <w:jc w:val="right"/>
              <w:rPr>
                <w:rFonts w:ascii="Arial" w:hAnsi="Arial" w:cs="Arial"/>
                <w:sz w:val="20"/>
                <w:szCs w:val="20"/>
              </w:rPr>
            </w:pPr>
            <w:r>
              <w:rPr>
                <w:rFonts w:cs="Arial" w:ascii="Arial" w:hAnsi="Arial"/>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TITOLO 3</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399.053,92</w:t>
            </w:r>
          </w:p>
        </w:tc>
        <w:tc>
          <w:tcPr>
            <w:tcW w:w="1760"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363.500,71</w:t>
            </w:r>
          </w:p>
        </w:tc>
        <w:tc>
          <w:tcPr>
            <w:tcW w:w="1519"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424.515,69</w:t>
            </w:r>
          </w:p>
        </w:tc>
        <w:tc>
          <w:tcPr>
            <w:tcW w:w="1121" w:type="dxa"/>
            <w:tcBorders/>
            <w:vAlign w:val="bottom"/>
          </w:tcPr>
          <w:p>
            <w:pPr>
              <w:pStyle w:val="Normal"/>
              <w:jc w:val="right"/>
              <w:rPr>
                <w:rFonts w:ascii="Arial" w:hAnsi="Arial" w:cs="Arial"/>
                <w:sz w:val="20"/>
                <w:szCs w:val="20"/>
              </w:rPr>
            </w:pPr>
            <w:r>
              <w:rPr>
                <w:rFonts w:cs="Arial" w:ascii="Arial" w:hAnsi="Arial"/>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TOTALE ENTRATE CORRENTI</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4.407.345,86</w:t>
            </w:r>
          </w:p>
        </w:tc>
        <w:tc>
          <w:tcPr>
            <w:tcW w:w="1760"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4.358.709,73</w:t>
            </w:r>
          </w:p>
        </w:tc>
        <w:tc>
          <w:tcPr>
            <w:tcW w:w="1519"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4.238.272,80</w:t>
            </w:r>
          </w:p>
        </w:tc>
        <w:tc>
          <w:tcPr>
            <w:tcW w:w="1121" w:type="dxa"/>
            <w:tcBorders/>
            <w:vAlign w:val="bottom"/>
          </w:tcPr>
          <w:p>
            <w:pPr>
              <w:pStyle w:val="Normal"/>
              <w:jc w:val="right"/>
              <w:rPr>
                <w:rFonts w:ascii="Arial" w:hAnsi="Arial" w:cs="Arial"/>
                <w:sz w:val="20"/>
                <w:szCs w:val="20"/>
              </w:rPr>
            </w:pPr>
            <w:r>
              <w:rPr>
                <w:rFonts w:cs="Arial" w:ascii="Arial" w:hAnsi="Arial"/>
                <w:sz w:val="20"/>
                <w:szCs w:val="20"/>
              </w:rPr>
            </w:r>
          </w:p>
        </w:tc>
      </w:tr>
      <w:tr>
        <w:trPr>
          <w:trHeight w:val="255" w:hRule="exact"/>
        </w:trPr>
        <w:tc>
          <w:tcPr>
            <w:tcW w:w="2975" w:type="dxa"/>
            <w:tcBorders/>
            <w:vAlign w:val="bottom"/>
          </w:tcPr>
          <w:p>
            <w:pPr>
              <w:pStyle w:val="Normal"/>
              <w:rPr>
                <w:sz w:val="20"/>
                <w:szCs w:val="20"/>
              </w:rPr>
            </w:pPr>
            <w:r>
              <w:rPr>
                <w:sz w:val="20"/>
                <w:szCs w:val="20"/>
              </w:rPr>
            </w:r>
          </w:p>
        </w:tc>
        <w:tc>
          <w:tcPr>
            <w:tcW w:w="1665" w:type="dxa"/>
            <w:tcBorders/>
            <w:vAlign w:val="bottom"/>
          </w:tcPr>
          <w:p>
            <w:pPr>
              <w:pStyle w:val="Normal"/>
              <w:rPr>
                <w:sz w:val="20"/>
                <w:szCs w:val="20"/>
              </w:rPr>
            </w:pPr>
            <w:r>
              <w:rPr>
                <w:sz w:val="20"/>
                <w:szCs w:val="20"/>
              </w:rPr>
            </w:r>
          </w:p>
        </w:tc>
        <w:tc>
          <w:tcPr>
            <w:tcW w:w="1760" w:type="dxa"/>
            <w:tcBorders/>
            <w:vAlign w:val="bottom"/>
          </w:tcPr>
          <w:p>
            <w:pPr>
              <w:pStyle w:val="Normal"/>
              <w:rPr>
                <w:sz w:val="20"/>
                <w:szCs w:val="20"/>
              </w:rPr>
            </w:pPr>
            <w:r>
              <w:rPr>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510" w:hRule="atLeast"/>
        </w:trPr>
        <w:tc>
          <w:tcPr>
            <w:tcW w:w="2975" w:type="dxa"/>
            <w:tcBorders>
              <w:top w:val="single" w:sz="4" w:space="0" w:color="000000"/>
              <w:left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MEDIA ENTRATE RENDICONTI 2022-2023-2024</w:t>
            </w:r>
          </w:p>
        </w:tc>
        <w:tc>
          <w:tcPr>
            <w:tcW w:w="1665" w:type="dxa"/>
            <w:tcBorders>
              <w:top w:val="single" w:sz="4" w:space="0" w:color="000000"/>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4.334.776,13</w:t>
            </w:r>
          </w:p>
        </w:tc>
        <w:tc>
          <w:tcPr>
            <w:tcW w:w="1760" w:type="dxa"/>
            <w:tcBorders/>
            <w:vAlign w:val="bottom"/>
          </w:tcPr>
          <w:p>
            <w:pPr>
              <w:pStyle w:val="Normal"/>
              <w:jc w:val="right"/>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meno FCDE assestato 2024</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-266.327,73</w:t>
            </w:r>
          </w:p>
        </w:tc>
        <w:tc>
          <w:tcPr>
            <w:tcW w:w="1760" w:type="dxa"/>
            <w:tcBorders/>
            <w:vAlign w:val="bottom"/>
          </w:tcPr>
          <w:p>
            <w:pPr>
              <w:pStyle w:val="Normal"/>
              <w:jc w:val="right"/>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shd w:color="000000" w:fill="F2F2F2" w:val="clear"/>
            <w:vAlign w:val="bottom"/>
          </w:tcPr>
          <w:p>
            <w:pPr>
              <w:pStyle w:val="Normal"/>
              <w:rPr>
                <w:rFonts w:ascii="Arial" w:hAnsi="Arial" w:cs="Arial"/>
                <w:sz w:val="20"/>
                <w:szCs w:val="20"/>
              </w:rPr>
            </w:pPr>
            <w:r>
              <w:rPr>
                <w:rFonts w:cs="Arial" w:ascii="Arial" w:hAnsi="Arial"/>
                <w:sz w:val="20"/>
                <w:szCs w:val="20"/>
              </w:rPr>
              <w:t>ENTRATE NETTE UNIONE</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1.348.629,55</w:t>
            </w:r>
          </w:p>
        </w:tc>
        <w:tc>
          <w:tcPr>
            <w:tcW w:w="1760" w:type="dxa"/>
            <w:tcBorders/>
            <w:vAlign w:val="bottom"/>
          </w:tcPr>
          <w:p>
            <w:pPr>
              <w:pStyle w:val="Normal"/>
              <w:jc w:val="right"/>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shd w:color="000000" w:fill="F2F2F2" w:val="clear"/>
            <w:vAlign w:val="bottom"/>
          </w:tcPr>
          <w:p>
            <w:pPr>
              <w:pStyle w:val="Normal"/>
              <w:rPr>
                <w:rFonts w:ascii="Arial" w:hAnsi="Arial" w:cs="Arial"/>
                <w:sz w:val="20"/>
                <w:szCs w:val="20"/>
              </w:rPr>
            </w:pPr>
            <w:r>
              <w:rPr>
                <w:rFonts w:cs="Arial" w:ascii="Arial" w:hAnsi="Arial"/>
                <w:sz w:val="20"/>
                <w:szCs w:val="20"/>
              </w:rPr>
              <w:t>ENTRATE NETTE ASP</w:t>
            </w:r>
          </w:p>
        </w:tc>
        <w:tc>
          <w:tcPr>
            <w:tcW w:w="1665" w:type="dxa"/>
            <w:tcBorders>
              <w:bottom w:val="single" w:sz="4" w:space="0" w:color="000000"/>
              <w:right w:val="single" w:sz="4" w:space="0" w:color="000000"/>
            </w:tcBorders>
            <w:vAlign w:val="bottom"/>
          </w:tcPr>
          <w:p>
            <w:pPr>
              <w:pStyle w:val="Normal"/>
              <w:jc w:val="right"/>
              <w:rPr>
                <w:rFonts w:ascii="Arial" w:hAnsi="Arial" w:cs="Arial"/>
                <w:sz w:val="20"/>
                <w:szCs w:val="20"/>
              </w:rPr>
            </w:pPr>
            <w:r>
              <w:rPr>
                <w:rFonts w:cs="Arial" w:ascii="Arial" w:hAnsi="Arial"/>
                <w:sz w:val="20"/>
                <w:szCs w:val="20"/>
              </w:rPr>
              <w:t>96.554,16</w:t>
            </w:r>
          </w:p>
        </w:tc>
        <w:tc>
          <w:tcPr>
            <w:tcW w:w="1760" w:type="dxa"/>
            <w:tcBorders/>
            <w:vAlign w:val="bottom"/>
          </w:tcPr>
          <w:p>
            <w:pPr>
              <w:pStyle w:val="Normal"/>
              <w:jc w:val="right"/>
              <w:rPr>
                <w:rFonts w:ascii="Arial" w:hAnsi="Arial" w:cs="Arial"/>
                <w:sz w:val="20"/>
                <w:szCs w:val="20"/>
              </w:rPr>
            </w:pPr>
            <w:r>
              <w:rPr>
                <w:rFonts w:cs="Arial" w:ascii="Arial" w:hAnsi="Arial"/>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left w:val="single" w:sz="4" w:space="0" w:color="000000"/>
              <w:bottom w:val="single" w:sz="4" w:space="0" w:color="000000"/>
              <w:right w:val="single" w:sz="4" w:space="0" w:color="000000"/>
            </w:tcBorders>
            <w:vAlign w:val="bottom"/>
          </w:tcPr>
          <w:p>
            <w:pPr>
              <w:pStyle w:val="Normal"/>
              <w:rPr>
                <w:rFonts w:ascii="Arial" w:hAnsi="Arial" w:cs="Arial"/>
                <w:b/>
                <w:bCs/>
                <w:sz w:val="20"/>
                <w:szCs w:val="20"/>
              </w:rPr>
            </w:pPr>
            <w:r>
              <w:rPr>
                <w:rFonts w:cs="Arial" w:ascii="Arial" w:hAnsi="Arial"/>
                <w:b/>
                <w:bCs/>
                <w:sz w:val="20"/>
                <w:szCs w:val="20"/>
              </w:rPr>
              <w:t>ENTRATE NETTE</w:t>
            </w:r>
          </w:p>
        </w:tc>
        <w:tc>
          <w:tcPr>
            <w:tcW w:w="1665" w:type="dxa"/>
            <w:tcBorders>
              <w:bottom w:val="single" w:sz="4" w:space="0" w:color="000000"/>
              <w:right w:val="single" w:sz="4" w:space="0" w:color="000000"/>
            </w:tcBorders>
            <w:vAlign w:val="bottom"/>
          </w:tcPr>
          <w:p>
            <w:pPr>
              <w:pStyle w:val="Normal"/>
              <w:jc w:val="right"/>
              <w:rPr>
                <w:rFonts w:ascii="Arial" w:hAnsi="Arial" w:cs="Arial"/>
                <w:b/>
                <w:bCs/>
                <w:sz w:val="20"/>
                <w:szCs w:val="20"/>
              </w:rPr>
            </w:pPr>
            <w:r>
              <w:rPr>
                <w:rFonts w:cs="Arial" w:ascii="Arial" w:hAnsi="Arial"/>
                <w:b/>
                <w:bCs/>
                <w:sz w:val="20"/>
                <w:szCs w:val="20"/>
              </w:rPr>
              <w:t>5.513.632,11</w:t>
            </w:r>
          </w:p>
        </w:tc>
        <w:tc>
          <w:tcPr>
            <w:tcW w:w="1760" w:type="dxa"/>
            <w:tcBorders/>
            <w:vAlign w:val="bottom"/>
          </w:tcPr>
          <w:p>
            <w:pPr>
              <w:pStyle w:val="Normal"/>
              <w:jc w:val="right"/>
              <w:rPr>
                <w:rFonts w:ascii="Arial" w:hAnsi="Arial" w:cs="Arial"/>
                <w:b/>
                <w:bCs/>
                <w:sz w:val="20"/>
                <w:szCs w:val="20"/>
              </w:rPr>
            </w:pPr>
            <w:r>
              <w:rPr>
                <w:rFonts w:cs="Arial" w:ascii="Arial" w:hAnsi="Arial"/>
                <w:b/>
                <w:bCs/>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exact"/>
        </w:trPr>
        <w:tc>
          <w:tcPr>
            <w:tcW w:w="2975" w:type="dxa"/>
            <w:tcBorders/>
            <w:vAlign w:val="bottom"/>
          </w:tcPr>
          <w:p>
            <w:pPr>
              <w:pStyle w:val="Normal"/>
              <w:rPr>
                <w:sz w:val="20"/>
                <w:szCs w:val="20"/>
              </w:rPr>
            </w:pPr>
            <w:r>
              <w:rPr>
                <w:sz w:val="20"/>
                <w:szCs w:val="20"/>
              </w:rPr>
            </w:r>
          </w:p>
        </w:tc>
        <w:tc>
          <w:tcPr>
            <w:tcW w:w="1665" w:type="dxa"/>
            <w:tcBorders/>
            <w:vAlign w:val="bottom"/>
          </w:tcPr>
          <w:p>
            <w:pPr>
              <w:pStyle w:val="Normal"/>
              <w:rPr>
                <w:sz w:val="20"/>
                <w:szCs w:val="20"/>
              </w:rPr>
            </w:pPr>
            <w:r>
              <w:rPr>
                <w:sz w:val="20"/>
                <w:szCs w:val="20"/>
              </w:rPr>
            </w:r>
          </w:p>
        </w:tc>
        <w:tc>
          <w:tcPr>
            <w:tcW w:w="1760" w:type="dxa"/>
            <w:tcBorders/>
            <w:vAlign w:val="bottom"/>
          </w:tcPr>
          <w:p>
            <w:pPr>
              <w:pStyle w:val="Normal"/>
              <w:rPr>
                <w:sz w:val="20"/>
                <w:szCs w:val="20"/>
              </w:rPr>
            </w:pPr>
            <w:r>
              <w:rPr>
                <w:sz w:val="20"/>
                <w:szCs w:val="20"/>
              </w:rPr>
            </w:r>
          </w:p>
        </w:tc>
        <w:tc>
          <w:tcPr>
            <w:tcW w:w="1519" w:type="dxa"/>
            <w:tcBorders/>
            <w:vAlign w:val="bottom"/>
          </w:tcPr>
          <w:p>
            <w:pPr>
              <w:pStyle w:val="Normal"/>
              <w:rPr>
                <w:sz w:val="20"/>
                <w:szCs w:val="20"/>
              </w:rPr>
            </w:pPr>
            <w:r>
              <w:rPr>
                <w:sz w:val="20"/>
                <w:szCs w:val="20"/>
              </w:rPr>
            </w:r>
          </w:p>
        </w:tc>
        <w:tc>
          <w:tcPr>
            <w:tcW w:w="1121" w:type="dxa"/>
            <w:tcBorders/>
            <w:vAlign w:val="bottom"/>
          </w:tcPr>
          <w:p>
            <w:pPr>
              <w:pStyle w:val="Normal"/>
              <w:rPr>
                <w:sz w:val="20"/>
                <w:szCs w:val="20"/>
              </w:rPr>
            </w:pPr>
            <w:r>
              <w:rPr>
                <w:sz w:val="20"/>
                <w:szCs w:val="20"/>
              </w:rPr>
            </w:r>
          </w:p>
        </w:tc>
      </w:tr>
      <w:tr>
        <w:trPr>
          <w:trHeight w:val="255" w:hRule="atLeast"/>
        </w:trPr>
        <w:tc>
          <w:tcPr>
            <w:tcW w:w="2975" w:type="dxa"/>
            <w:tcBorders/>
            <w:vAlign w:val="bottom"/>
          </w:tcPr>
          <w:p>
            <w:pPr>
              <w:pStyle w:val="Normal"/>
              <w:rPr>
                <w:rFonts w:ascii="Arial" w:hAnsi="Arial" w:cs="Arial"/>
                <w:sz w:val="20"/>
                <w:szCs w:val="20"/>
              </w:rPr>
            </w:pPr>
            <w:r>
              <w:rPr>
                <w:rFonts w:cs="Arial" w:ascii="Arial" w:hAnsi="Arial"/>
                <w:sz w:val="20"/>
                <w:szCs w:val="20"/>
              </w:rPr>
              <w:t>RAPPORTO SPESE/ENTRATE</w:t>
            </w:r>
          </w:p>
        </w:tc>
        <w:tc>
          <w:tcPr>
            <w:tcW w:w="1665" w:type="dxa"/>
            <w:tcBorders/>
            <w:vAlign w:val="bottom"/>
          </w:tcPr>
          <w:p>
            <w:pPr>
              <w:pStyle w:val="Normal"/>
              <w:jc w:val="right"/>
              <w:rPr>
                <w:rFonts w:ascii="Arial" w:hAnsi="Arial" w:cs="Arial"/>
                <w:sz w:val="20"/>
                <w:szCs w:val="20"/>
              </w:rPr>
            </w:pPr>
            <w:r>
              <w:rPr>
                <w:rFonts w:cs="Arial" w:ascii="Arial" w:hAnsi="Arial"/>
                <w:sz w:val="20"/>
                <w:szCs w:val="20"/>
              </w:rPr>
              <w:t>26,52%</w:t>
            </w:r>
          </w:p>
        </w:tc>
        <w:tc>
          <w:tcPr>
            <w:tcW w:w="3279" w:type="dxa"/>
            <w:gridSpan w:val="2"/>
            <w:tcBorders/>
            <w:vAlign w:val="bottom"/>
          </w:tcPr>
          <w:p>
            <w:pPr>
              <w:pStyle w:val="Normal"/>
              <w:rPr>
                <w:rFonts w:ascii="Arial" w:hAnsi="Arial" w:cs="Arial"/>
                <w:sz w:val="20"/>
                <w:szCs w:val="20"/>
              </w:rPr>
            </w:pPr>
            <w:r>
              <w:rPr>
                <w:rFonts w:cs="Arial" w:ascii="Arial" w:hAnsi="Arial"/>
                <w:sz w:val="20"/>
                <w:szCs w:val="20"/>
              </w:rPr>
              <w:t>COMUNE SOTTO % MINIMA</w:t>
            </w:r>
          </w:p>
        </w:tc>
        <w:tc>
          <w:tcPr>
            <w:tcW w:w="1121" w:type="dxa"/>
            <w:tcBorders/>
            <w:vAlign w:val="bottom"/>
          </w:tcPr>
          <w:p>
            <w:pPr>
              <w:pStyle w:val="Normal"/>
              <w:rPr>
                <w:rFonts w:ascii="Arial" w:hAnsi="Arial" w:cs="Arial"/>
                <w:sz w:val="20"/>
                <w:szCs w:val="20"/>
              </w:rPr>
            </w:pPr>
            <w:r>
              <w:rPr>
                <w:rFonts w:cs="Arial" w:ascii="Arial" w:hAnsi="Arial"/>
                <w:sz w:val="20"/>
                <w:szCs w:val="20"/>
              </w:rPr>
            </w:r>
          </w:p>
        </w:tc>
      </w:tr>
    </w:tbl>
    <w:p>
      <w:pPr>
        <w:pStyle w:val="Normal"/>
        <w:rPr>
          <w:rFonts w:ascii="Arial" w:hAnsi="Arial" w:eastAsia="SimSun" w:cs="Arial"/>
          <w:sz w:val="22"/>
          <w:szCs w:val="22"/>
        </w:rPr>
      </w:pPr>
      <w:r>
        <w:rPr>
          <w:rFonts w:eastAsia="SimSun" w:cs="Arial" w:ascii="Arial" w:hAnsi="Arial"/>
          <w:sz w:val="22"/>
          <w:szCs w:val="22"/>
        </w:rPr>
      </w:r>
    </w:p>
    <w:p>
      <w:pPr>
        <w:pStyle w:val="Normal"/>
        <w:rPr>
          <w:rFonts w:ascii="Arial" w:hAnsi="Arial" w:eastAsia="SimSun" w:cs="Arial"/>
        </w:rPr>
      </w:pPr>
      <w:r>
        <w:rPr>
          <w:rFonts w:eastAsia="SimSun" w:cs="Arial" w:ascii="Arial" w:hAnsi="Arial"/>
        </w:rPr>
      </w:r>
    </w:p>
    <w:p>
      <w:pPr>
        <w:pStyle w:val="Normal"/>
        <w:spacing w:lineRule="exact" w:line="260" w:before="120" w:after="120"/>
        <w:jc w:val="both"/>
        <w:rPr>
          <w:rFonts w:ascii="Arial" w:hAnsi="Arial" w:eastAsia="" w:cs="Arial" w:eastAsiaTheme="majorEastAsia"/>
          <w:color w:themeColor="accent1" w:themeShade="bf" w:val="2F5496"/>
        </w:rPr>
      </w:pPr>
      <w:r>
        <w:rPr>
          <w:rFonts w:eastAsia="" w:cs="Arial" w:ascii="Arial" w:hAnsi="Arial" w:eastAsiaTheme="majorEastAsia"/>
          <w:color w:themeColor="accent1" w:themeShade="bf" w:val="2F5496"/>
        </w:rPr>
        <w:t>3.3.3 Formazione del personale</w:t>
      </w:r>
    </w:p>
    <w:p>
      <w:pPr>
        <w:pStyle w:val="Normal"/>
        <w:spacing w:lineRule="exact" w:line="280" w:before="240" w:after="0"/>
        <w:jc w:val="both"/>
        <w:rPr>
          <w:rFonts w:ascii="Arial" w:hAnsi="Arial" w:cs="Arial"/>
          <w:sz w:val="22"/>
          <w:szCs w:val="22"/>
        </w:rPr>
      </w:pPr>
      <w:r>
        <w:rPr>
          <w:rFonts w:cs="Arial" w:ascii="Arial" w:hAnsi="Arial"/>
          <w:sz w:val="22"/>
          <w:szCs w:val="22"/>
        </w:rPr>
        <w:t>Il Comune di Marano ha demandato all’Unione Terre di Castelli la programmazione, almeno per quanto concerne le esigenze trasversali e i corsi obbligatori, relativa alla formazione del personale.</w:t>
      </w:r>
    </w:p>
    <w:p>
      <w:pPr>
        <w:pStyle w:val="Normal"/>
        <w:spacing w:lineRule="exact" w:line="280" w:before="120" w:after="0"/>
        <w:jc w:val="both"/>
        <w:rPr>
          <w:rFonts w:ascii="Arial" w:hAnsi="Arial" w:cs="Arial"/>
          <w:sz w:val="22"/>
          <w:szCs w:val="22"/>
        </w:rPr>
      </w:pPr>
      <w:r>
        <w:rPr>
          <w:rFonts w:cs="Arial" w:ascii="Arial" w:hAnsi="Arial"/>
          <w:sz w:val="22"/>
          <w:szCs w:val="22"/>
        </w:rPr>
        <w:t>L’Unione è consapevole del ruolo strategico della Formazione già affermato dalla Direttiva del 13/12/2014 del Ministero per la funzione pubblica che dispone che tutte le PP.AA. debbano assicurare il diritto permanente alla formazione attraverso la pianificazione e la programmazione di attività formative tarate sulle esigenze e inclinazioni del personale.</w:t>
      </w:r>
    </w:p>
    <w:p>
      <w:pPr>
        <w:pStyle w:val="Normal"/>
        <w:spacing w:lineRule="exact" w:line="280" w:before="120" w:after="0"/>
        <w:jc w:val="both"/>
        <w:rPr>
          <w:rFonts w:ascii="Arial" w:hAnsi="Arial" w:cs="Arial"/>
          <w:sz w:val="22"/>
          <w:szCs w:val="22"/>
        </w:rPr>
      </w:pPr>
      <w:r>
        <w:rPr>
          <w:rFonts w:cs="Arial" w:ascii="Arial" w:hAnsi="Arial"/>
          <w:sz w:val="22"/>
          <w:szCs w:val="22"/>
        </w:rPr>
        <w:t>Anche in sede di contrattazione collettiva è ribadito il ruolo centrale della formazione per l’attuazione di strategie di cambiamento nella P.A. e per l’innalzamento dei livelli di efficienza ed efficacia dell’azione amministrativa.</w:t>
      </w:r>
    </w:p>
    <w:p>
      <w:pPr>
        <w:pStyle w:val="Normal"/>
        <w:spacing w:lineRule="exact" w:line="280" w:before="120" w:after="0"/>
        <w:jc w:val="both"/>
        <w:rPr>
          <w:rFonts w:ascii="Arial" w:hAnsi="Arial" w:cs="Arial"/>
          <w:sz w:val="22"/>
          <w:szCs w:val="22"/>
        </w:rPr>
      </w:pPr>
      <w:r>
        <w:rPr>
          <w:rFonts w:cs="Arial" w:ascii="Arial" w:hAnsi="Arial"/>
          <w:sz w:val="22"/>
          <w:szCs w:val="22"/>
        </w:rPr>
        <w:t xml:space="preserve">La normativa vigente peraltro dispone l’obbligatorietà della formazione del personale con riferimento a varie tematiche: </w:t>
      </w:r>
    </w:p>
    <w:p>
      <w:pPr>
        <w:pStyle w:val="ListParagraph"/>
        <w:numPr>
          <w:ilvl w:val="0"/>
          <w:numId w:val="9"/>
        </w:numPr>
        <w:tabs>
          <w:tab w:val="clear" w:pos="720"/>
          <w:tab w:val="left" w:pos="280" w:leader="none"/>
        </w:tabs>
        <w:spacing w:lineRule="exact" w:line="260" w:before="120" w:after="0"/>
        <w:ind w:hanging="283" w:left="283"/>
        <w:contextualSpacing/>
        <w:jc w:val="both"/>
        <w:rPr>
          <w:rFonts w:ascii="Arial" w:hAnsi="Arial" w:cs="Arial"/>
          <w:sz w:val="22"/>
          <w:szCs w:val="22"/>
        </w:rPr>
      </w:pPr>
      <w:r>
        <w:rPr>
          <w:rFonts w:cs="Arial" w:ascii="Arial" w:hAnsi="Arial"/>
          <w:sz w:val="22"/>
          <w:szCs w:val="22"/>
        </w:rPr>
        <w:t>Prevenzione della corruzione ex L. 190/2012</w:t>
      </w:r>
    </w:p>
    <w:p>
      <w:pPr>
        <w:pStyle w:val="ListParagraph"/>
        <w:numPr>
          <w:ilvl w:val="0"/>
          <w:numId w:val="9"/>
        </w:numPr>
        <w:tabs>
          <w:tab w:val="clear" w:pos="720"/>
          <w:tab w:val="left" w:pos="280" w:leader="none"/>
        </w:tabs>
        <w:spacing w:lineRule="exact" w:line="260" w:before="120" w:after="0"/>
        <w:ind w:hanging="283" w:left="283"/>
        <w:contextualSpacing/>
        <w:jc w:val="both"/>
        <w:rPr>
          <w:rFonts w:ascii="Arial" w:hAnsi="Arial" w:cs="Arial"/>
          <w:sz w:val="22"/>
          <w:szCs w:val="22"/>
        </w:rPr>
      </w:pPr>
      <w:r>
        <w:rPr>
          <w:rFonts w:cs="Arial" w:ascii="Arial" w:hAnsi="Arial"/>
          <w:sz w:val="22"/>
          <w:szCs w:val="22"/>
        </w:rPr>
        <w:t>Sicurezza sul lavoro ai sensi ex D.lgs. 81/2008</w:t>
      </w:r>
    </w:p>
    <w:p>
      <w:pPr>
        <w:pStyle w:val="ListParagraph"/>
        <w:numPr>
          <w:ilvl w:val="0"/>
          <w:numId w:val="9"/>
        </w:numPr>
        <w:tabs>
          <w:tab w:val="clear" w:pos="720"/>
          <w:tab w:val="left" w:pos="280" w:leader="none"/>
        </w:tabs>
        <w:spacing w:lineRule="exact" w:line="260" w:before="120" w:after="0"/>
        <w:ind w:hanging="283" w:left="283"/>
        <w:contextualSpacing/>
        <w:jc w:val="both"/>
        <w:rPr>
          <w:rFonts w:ascii="Arial" w:hAnsi="Arial" w:cs="Arial"/>
          <w:sz w:val="22"/>
          <w:szCs w:val="22"/>
        </w:rPr>
      </w:pPr>
      <w:r>
        <w:rPr>
          <w:rFonts w:cs="Arial" w:ascii="Arial" w:hAnsi="Arial"/>
          <w:sz w:val="22"/>
          <w:szCs w:val="22"/>
        </w:rPr>
        <w:t>Anagrafe per gli Ufficiali di stato civile</w:t>
      </w:r>
    </w:p>
    <w:p>
      <w:pPr>
        <w:pStyle w:val="ListParagraph"/>
        <w:numPr>
          <w:ilvl w:val="0"/>
          <w:numId w:val="9"/>
        </w:numPr>
        <w:tabs>
          <w:tab w:val="clear" w:pos="720"/>
          <w:tab w:val="left" w:pos="280" w:leader="none"/>
        </w:tabs>
        <w:spacing w:lineRule="exact" w:line="260" w:before="120" w:after="0"/>
        <w:ind w:hanging="283" w:left="283"/>
        <w:contextualSpacing/>
        <w:jc w:val="both"/>
        <w:rPr>
          <w:rFonts w:ascii="Arial" w:hAnsi="Arial" w:cs="Arial"/>
          <w:sz w:val="22"/>
          <w:szCs w:val="22"/>
        </w:rPr>
      </w:pPr>
      <w:r>
        <w:rPr>
          <w:rFonts w:cs="Arial" w:ascii="Arial" w:hAnsi="Arial"/>
          <w:sz w:val="22"/>
          <w:szCs w:val="22"/>
        </w:rPr>
        <w:t>Conoscenza e uso delle tecnologie in osservanza del CAD (D.lgs. 179/2016)</w:t>
      </w:r>
    </w:p>
    <w:p>
      <w:pPr>
        <w:pStyle w:val="ListParagraph"/>
        <w:numPr>
          <w:ilvl w:val="0"/>
          <w:numId w:val="9"/>
        </w:numPr>
        <w:tabs>
          <w:tab w:val="clear" w:pos="720"/>
          <w:tab w:val="left" w:pos="280" w:leader="none"/>
        </w:tabs>
        <w:spacing w:lineRule="exact" w:line="260" w:before="120" w:after="0"/>
        <w:ind w:hanging="283" w:left="283"/>
        <w:contextualSpacing/>
        <w:jc w:val="both"/>
        <w:rPr>
          <w:rFonts w:ascii="Arial" w:hAnsi="Arial" w:cs="Arial"/>
          <w:sz w:val="22"/>
          <w:szCs w:val="22"/>
        </w:rPr>
      </w:pPr>
      <w:r>
        <w:rPr>
          <w:rFonts w:cs="Arial" w:ascii="Arial" w:hAnsi="Arial"/>
          <w:sz w:val="22"/>
          <w:szCs w:val="22"/>
        </w:rPr>
        <w:t>Privacy e protezione dei dati personali (ex Regolamento UE/2018/1725</w:t>
      </w:r>
    </w:p>
    <w:p>
      <w:pPr>
        <w:pStyle w:val="Normal"/>
        <w:spacing w:lineRule="exact" w:line="280" w:before="120" w:after="0"/>
        <w:jc w:val="both"/>
        <w:rPr>
          <w:rFonts w:ascii="Arial" w:hAnsi="Arial" w:cs="Arial"/>
          <w:sz w:val="22"/>
        </w:rPr>
      </w:pPr>
      <w:r>
        <w:rPr>
          <w:rFonts w:cs="Arial" w:ascii="Arial" w:hAnsi="Arial"/>
          <w:sz w:val="22"/>
        </w:rPr>
      </w:r>
    </w:p>
    <w:p>
      <w:pPr>
        <w:pStyle w:val="Normal"/>
        <w:spacing w:lineRule="exact" w:line="280" w:before="120" w:after="0"/>
        <w:jc w:val="both"/>
        <w:rPr>
          <w:rFonts w:ascii="Arial" w:hAnsi="Arial" w:cs="Arial"/>
          <w:sz w:val="22"/>
        </w:rPr>
      </w:pPr>
      <w:r>
        <w:rPr>
          <w:rFonts w:cs="Arial" w:ascii="Arial" w:hAnsi="Arial"/>
          <w:sz w:val="22"/>
        </w:rPr>
        <w:t>Il Piano Formativo è pertanto definito dagli Uffici dell’Unione in coerenza con il prefigurato contesto normativo con la finalità di accrescere le conoscenze e competenze del personale dell’Unione stessa e dei comuni aderenti in un ottica di maggior coinvolgimento dei dipendenti nelle attività istituzionali e innalzare conseguentemente i livelli qualitativi dei servizi erogati a favore della cittadinanza.</w:t>
      </w:r>
    </w:p>
    <w:p>
      <w:pPr>
        <w:pStyle w:val="Normal"/>
        <w:spacing w:lineRule="exact" w:line="280" w:before="120" w:after="0"/>
        <w:jc w:val="both"/>
        <w:rPr>
          <w:rFonts w:ascii="Arial" w:hAnsi="Arial" w:cs="Arial"/>
          <w:sz w:val="22"/>
        </w:rPr>
      </w:pPr>
      <w:r>
        <w:rPr>
          <w:rFonts w:cs="Arial" w:ascii="Arial" w:hAnsi="Arial"/>
          <w:sz w:val="22"/>
        </w:rPr>
        <w:t xml:space="preserve">Il Piano Triennale della formazione è definito sulla base dei fabbisogni formativi rilevati presso il personale dei comuni aderenti, garantendo la flessibilità del programma in funzione delle eventuali sopravvenienti esigenze professionali ed organizzative, così da adeguarsi: </w:t>
      </w:r>
    </w:p>
    <w:p>
      <w:pPr>
        <w:pStyle w:val="ListParagraph"/>
        <w:numPr>
          <w:ilvl w:val="0"/>
          <w:numId w:val="10"/>
        </w:numPr>
        <w:tabs>
          <w:tab w:val="clear" w:pos="720"/>
          <w:tab w:val="left" w:pos="340" w:leader="none"/>
        </w:tabs>
        <w:spacing w:lineRule="exact" w:line="260" w:before="120" w:after="0"/>
        <w:ind w:hanging="340" w:left="340"/>
        <w:contextualSpacing/>
        <w:jc w:val="both"/>
        <w:rPr>
          <w:rFonts w:ascii="Arial" w:hAnsi="Arial" w:cs="Arial"/>
          <w:sz w:val="22"/>
        </w:rPr>
      </w:pPr>
      <w:r>
        <w:rPr>
          <w:rFonts w:cs="Arial" w:ascii="Arial" w:hAnsi="Arial"/>
          <w:sz w:val="22"/>
        </w:rPr>
        <w:t>ai mutamenti del contesto socio-economico</w:t>
      </w:r>
    </w:p>
    <w:p>
      <w:pPr>
        <w:pStyle w:val="ListParagraph"/>
        <w:numPr>
          <w:ilvl w:val="0"/>
          <w:numId w:val="10"/>
        </w:numPr>
        <w:tabs>
          <w:tab w:val="clear" w:pos="720"/>
          <w:tab w:val="left" w:pos="340" w:leader="none"/>
        </w:tabs>
        <w:spacing w:lineRule="exact" w:line="260" w:before="120" w:after="0"/>
        <w:ind w:hanging="340" w:left="340"/>
        <w:contextualSpacing/>
        <w:jc w:val="both"/>
        <w:rPr>
          <w:rFonts w:ascii="Arial" w:hAnsi="Arial" w:cs="Arial"/>
          <w:sz w:val="22"/>
        </w:rPr>
      </w:pPr>
      <w:r>
        <w:rPr>
          <w:rFonts w:cs="Arial" w:ascii="Arial" w:hAnsi="Arial"/>
          <w:sz w:val="22"/>
        </w:rPr>
        <w:t>alle indicazioni contenute nelle leggi di riforma della P.A.</w:t>
      </w:r>
    </w:p>
    <w:p>
      <w:pPr>
        <w:pStyle w:val="ListParagraph"/>
        <w:numPr>
          <w:ilvl w:val="0"/>
          <w:numId w:val="10"/>
        </w:numPr>
        <w:tabs>
          <w:tab w:val="clear" w:pos="720"/>
          <w:tab w:val="left" w:pos="340" w:leader="none"/>
        </w:tabs>
        <w:spacing w:lineRule="exact" w:line="260" w:before="120" w:after="0"/>
        <w:ind w:hanging="340" w:left="340"/>
        <w:contextualSpacing/>
        <w:jc w:val="both"/>
        <w:rPr>
          <w:rFonts w:ascii="Arial" w:hAnsi="Arial" w:cs="Arial"/>
          <w:sz w:val="22"/>
        </w:rPr>
      </w:pPr>
      <w:r>
        <w:rPr>
          <w:rFonts w:cs="Arial" w:ascii="Arial" w:hAnsi="Arial"/>
          <w:sz w:val="22"/>
        </w:rPr>
        <w:t>allo sviluppo della cultura orientata al risultato e alla soddisfazione dei bisogni del cittadino</w:t>
      </w:r>
    </w:p>
    <w:p>
      <w:pPr>
        <w:pStyle w:val="ListParagraph"/>
        <w:numPr>
          <w:ilvl w:val="0"/>
          <w:numId w:val="10"/>
        </w:numPr>
        <w:tabs>
          <w:tab w:val="clear" w:pos="720"/>
          <w:tab w:val="left" w:pos="340" w:leader="none"/>
        </w:tabs>
        <w:spacing w:lineRule="exact" w:line="260" w:before="120" w:after="0"/>
        <w:ind w:hanging="340" w:left="340"/>
        <w:contextualSpacing/>
        <w:jc w:val="both"/>
        <w:rPr>
          <w:rFonts w:ascii="Arial" w:hAnsi="Arial" w:cs="Arial"/>
          <w:sz w:val="22"/>
        </w:rPr>
      </w:pPr>
      <w:r>
        <w:rPr>
          <w:rFonts w:cs="Arial" w:ascii="Arial" w:hAnsi="Arial"/>
          <w:sz w:val="22"/>
        </w:rPr>
        <w:t>ai processi di innovazione e digitalizzazione tecnologica</w:t>
      </w:r>
    </w:p>
    <w:p>
      <w:pPr>
        <w:pStyle w:val="Normal"/>
        <w:spacing w:lineRule="exact" w:line="280" w:before="120" w:after="0"/>
        <w:jc w:val="both"/>
        <w:rPr>
          <w:rFonts w:ascii="Arial" w:hAnsi="Arial" w:cs="Arial"/>
          <w:sz w:val="22"/>
        </w:rPr>
      </w:pPr>
      <w:r>
        <w:rPr>
          <w:rFonts w:cs="Arial" w:ascii="Arial" w:hAnsi="Arial"/>
          <w:sz w:val="22"/>
        </w:rPr>
      </w:r>
    </w:p>
    <w:p>
      <w:pPr>
        <w:pStyle w:val="Normal"/>
        <w:spacing w:lineRule="exact" w:line="280" w:before="120" w:after="0"/>
        <w:jc w:val="both"/>
        <w:rPr>
          <w:rFonts w:ascii="Arial" w:hAnsi="Arial" w:cs="Arial"/>
          <w:sz w:val="22"/>
        </w:rPr>
      </w:pPr>
      <w:r>
        <w:rPr>
          <w:rFonts w:cs="Arial" w:ascii="Arial" w:hAnsi="Arial"/>
          <w:sz w:val="22"/>
        </w:rPr>
        <w:t>Quanto ai contenuti formativi del Piano triennale possono essere distinte 4 macro-aree di intervento:</w:t>
      </w:r>
    </w:p>
    <w:p>
      <w:pPr>
        <w:pStyle w:val="Normal"/>
        <w:numPr>
          <w:ilvl w:val="0"/>
          <w:numId w:val="11"/>
        </w:numPr>
        <w:tabs>
          <w:tab w:val="clear" w:pos="720"/>
          <w:tab w:val="left" w:pos="280" w:leader="none"/>
        </w:tabs>
        <w:spacing w:lineRule="exact" w:line="280" w:before="120" w:after="0"/>
        <w:ind w:hanging="340" w:left="283"/>
        <w:jc w:val="both"/>
        <w:rPr>
          <w:rFonts w:ascii="Arial" w:hAnsi="Arial" w:cs="Arial"/>
          <w:sz w:val="22"/>
        </w:rPr>
      </w:pPr>
      <w:r>
        <w:rPr>
          <w:rFonts w:cs="Arial" w:ascii="Arial" w:hAnsi="Arial"/>
          <w:sz w:val="22"/>
        </w:rPr>
        <w:t>La formazione obbligatoria rivolta alle tematiche già ricordate che tutti i dipendenti devono periodicamente fruire in relazione alle evoluzioni normative e regolamentari;</w:t>
      </w:r>
    </w:p>
    <w:p>
      <w:pPr>
        <w:pStyle w:val="Normal"/>
        <w:numPr>
          <w:ilvl w:val="0"/>
          <w:numId w:val="11"/>
        </w:numPr>
        <w:tabs>
          <w:tab w:val="clear" w:pos="720"/>
          <w:tab w:val="left" w:pos="280" w:leader="none"/>
        </w:tabs>
        <w:spacing w:lineRule="exact" w:line="280" w:before="120" w:after="0"/>
        <w:ind w:hanging="340" w:left="283"/>
        <w:jc w:val="both"/>
        <w:rPr>
          <w:rFonts w:ascii="Arial" w:hAnsi="Arial" w:cs="Arial"/>
          <w:sz w:val="22"/>
        </w:rPr>
      </w:pPr>
      <w:r>
        <w:rPr>
          <w:rFonts w:cs="Arial" w:ascii="Arial" w:hAnsi="Arial"/>
          <w:sz w:val="22"/>
        </w:rPr>
        <w:t>La formazione su tematiche di specifico interesse delle aree/servizi gestionali dei Comuni, che è strutturata sulla base delle indicazioni dei responsabili degli Uffici degli Enti aderenti all’Unione;</w:t>
      </w:r>
    </w:p>
    <w:p>
      <w:pPr>
        <w:pStyle w:val="Normal"/>
        <w:numPr>
          <w:ilvl w:val="0"/>
          <w:numId w:val="11"/>
        </w:numPr>
        <w:tabs>
          <w:tab w:val="clear" w:pos="720"/>
          <w:tab w:val="left" w:pos="426" w:leader="none"/>
        </w:tabs>
        <w:spacing w:lineRule="exact" w:line="280" w:before="120" w:after="0"/>
        <w:ind w:hanging="340" w:left="283"/>
        <w:jc w:val="both"/>
        <w:rPr>
          <w:rFonts w:ascii="Arial" w:hAnsi="Arial" w:cs="Arial"/>
          <w:sz w:val="22"/>
        </w:rPr>
      </w:pPr>
      <w:r>
        <w:rPr>
          <w:rStyle w:val="Normaltextrun"/>
          <w:rFonts w:cs="Arial" w:ascii="Arial" w:hAnsi="Arial"/>
          <w:sz w:val="22"/>
        </w:rPr>
        <w:t xml:space="preserve">La formazione rivolta alle più che mai attuali tematiche della </w:t>
      </w:r>
      <w:r>
        <w:rPr>
          <w:rStyle w:val="Normaltextrun"/>
          <w:rFonts w:cs="Arial" w:ascii="Arial" w:hAnsi="Arial"/>
          <w:i/>
          <w:iCs/>
          <w:sz w:val="22"/>
        </w:rPr>
        <w:t xml:space="preserve">cyber security </w:t>
      </w:r>
      <w:r>
        <w:rPr>
          <w:rStyle w:val="Normaltextrun"/>
          <w:rFonts w:cs="Arial" w:ascii="Arial" w:hAnsi="Arial"/>
          <w:iCs/>
          <w:sz w:val="22"/>
        </w:rPr>
        <w:t>e dell’</w:t>
      </w:r>
      <w:r>
        <w:rPr>
          <w:rStyle w:val="Normaltextrun"/>
          <w:rFonts w:cs="Arial" w:ascii="Arial" w:hAnsi="Arial"/>
          <w:i/>
          <w:iCs/>
          <w:sz w:val="22"/>
        </w:rPr>
        <w:t xml:space="preserve">innovazione digitale. </w:t>
      </w:r>
    </w:p>
    <w:p>
      <w:pPr>
        <w:pStyle w:val="Paragraph"/>
        <w:spacing w:lineRule="exact" w:line="280" w:beforeAutospacing="0" w:before="120" w:afterAutospacing="0" w:after="280"/>
        <w:jc w:val="both"/>
        <w:textAlignment w:val="baseline"/>
        <w:rPr>
          <w:rFonts w:ascii="Arial" w:hAnsi="Arial" w:cs="Arial"/>
          <w:sz w:val="22"/>
          <w:szCs w:val="22"/>
        </w:rPr>
      </w:pPr>
      <w:r>
        <w:rPr>
          <w:rStyle w:val="Normaltextrun"/>
          <w:rFonts w:cs="Arial" w:ascii="Arial" w:hAnsi="Arial"/>
          <w:sz w:val="22"/>
          <w:szCs w:val="22"/>
        </w:rPr>
        <w:t xml:space="preserve">Per quanto concerne il tema della sicurezza informativa, il PNNR, l'istituzione della nuova Agenzia per la Cyber sicurezza nazionale e il decreto attuativo del perimetro di sicurezza nazionale cibernetica pongono la </w:t>
      </w:r>
      <w:r>
        <w:rPr>
          <w:rStyle w:val="Normaltextrun"/>
          <w:rFonts w:cs="Arial" w:ascii="Arial" w:hAnsi="Arial"/>
          <w:i/>
          <w:iCs/>
          <w:sz w:val="22"/>
          <w:szCs w:val="22"/>
        </w:rPr>
        <w:t xml:space="preserve">cybersecurity </w:t>
      </w:r>
      <w:r>
        <w:rPr>
          <w:rStyle w:val="Normaltextrun"/>
          <w:rFonts w:cs="Arial" w:ascii="Arial" w:hAnsi="Arial"/>
          <w:sz w:val="22"/>
          <w:szCs w:val="22"/>
        </w:rPr>
        <w:t>a fondamento della digitalizzazione della Pubblica Amministrazione e del Sistema Italia.</w:t>
      </w:r>
    </w:p>
    <w:p>
      <w:pPr>
        <w:pStyle w:val="Paragraph"/>
        <w:spacing w:lineRule="exact" w:line="280" w:beforeAutospacing="0" w:before="120" w:afterAutospacing="0" w:after="280"/>
        <w:jc w:val="both"/>
        <w:textAlignment w:val="baseline"/>
        <w:rPr>
          <w:rFonts w:ascii="Arial" w:hAnsi="Arial" w:cs="Arial"/>
          <w:sz w:val="22"/>
          <w:szCs w:val="22"/>
        </w:rPr>
      </w:pPr>
      <w:r>
        <w:rPr>
          <w:rStyle w:val="Eop"/>
          <w:rFonts w:cs="Arial" w:ascii="Arial" w:hAnsi="Arial"/>
          <w:sz w:val="22"/>
          <w:szCs w:val="22"/>
        </w:rPr>
        <w:t>In tale ambito oltre all’implementazioni delle soluzioni software atte a contrastare i cyber attacchi è necessario aumentare il livello di consapevolezza dei rischi da essi derivanti presso il personale delle amministrazioni pubbliche.</w:t>
      </w:r>
    </w:p>
    <w:p>
      <w:pPr>
        <w:pStyle w:val="Paragraph"/>
        <w:spacing w:lineRule="exact" w:line="280" w:beforeAutospacing="0" w:before="120" w:afterAutospacing="0" w:after="280"/>
        <w:jc w:val="both"/>
        <w:textAlignment w:val="baseline"/>
        <w:rPr>
          <w:rFonts w:ascii="Arial" w:hAnsi="Arial" w:cs="Arial"/>
          <w:sz w:val="22"/>
          <w:szCs w:val="22"/>
          <w:highlight w:val="white"/>
        </w:rPr>
      </w:pPr>
      <w:r>
        <w:rPr>
          <w:rStyle w:val="Eop"/>
          <w:rFonts w:cs="Arial" w:ascii="Arial" w:hAnsi="Arial"/>
          <w:sz w:val="22"/>
          <w:szCs w:val="22"/>
        </w:rPr>
        <w:t>Per tale motivo il Piano formativo, in coerenza con il Piano triennale prevede interventi formativi specifici relativi alle tematiche di</w:t>
      </w:r>
      <w:r>
        <w:rPr>
          <w:rStyle w:val="Normaltextrun"/>
          <w:rFonts w:cs="Arial" w:ascii="Arial" w:hAnsi="Arial"/>
          <w:sz w:val="22"/>
          <w:szCs w:val="22"/>
          <w:shd w:fill="FFFFFF" w:val="clear"/>
        </w:rPr>
        <w:t xml:space="preserve"> Cyber Security Awareness.</w:t>
      </w:r>
    </w:p>
    <w:p>
      <w:pPr>
        <w:pStyle w:val="Paragraph"/>
        <w:spacing w:lineRule="exact" w:line="280" w:beforeAutospacing="0" w:before="120" w:afterAutospacing="0" w:after="280"/>
        <w:jc w:val="both"/>
        <w:textAlignment w:val="baseline"/>
        <w:rPr>
          <w:rFonts w:ascii="Arial" w:hAnsi="Arial" w:cs="Arial"/>
          <w:sz w:val="22"/>
          <w:szCs w:val="22"/>
        </w:rPr>
      </w:pPr>
      <w:r>
        <w:rPr>
          <w:rStyle w:val="Normaltextrun"/>
          <w:rFonts w:cs="Arial" w:ascii="Arial" w:hAnsi="Arial"/>
          <w:sz w:val="22"/>
          <w:szCs w:val="22"/>
        </w:rPr>
        <w:t xml:space="preserve">Con riferimento all’innovazione digitale vengono invece in rilievo gli interventi formativi rivolti alle </w:t>
      </w:r>
      <w:r>
        <w:rPr>
          <w:rStyle w:val="Normaltextrun"/>
          <w:rFonts w:cs="Arial" w:ascii="Arial" w:hAnsi="Arial"/>
          <w:i/>
          <w:sz w:val="22"/>
          <w:szCs w:val="22"/>
        </w:rPr>
        <w:t>competenze digitali</w:t>
      </w:r>
      <w:r>
        <w:rPr>
          <w:rStyle w:val="Normaltextrun"/>
          <w:rFonts w:cs="Arial" w:ascii="Arial" w:hAnsi="Arial"/>
          <w:sz w:val="22"/>
          <w:szCs w:val="22"/>
        </w:rPr>
        <w:t xml:space="preserve">. </w:t>
      </w:r>
    </w:p>
    <w:p>
      <w:pPr>
        <w:pStyle w:val="Paragraph"/>
        <w:spacing w:lineRule="exact" w:line="280" w:beforeAutospacing="0" w:before="120" w:afterAutospacing="0" w:after="280"/>
        <w:jc w:val="both"/>
        <w:textAlignment w:val="baseline"/>
        <w:rPr>
          <w:rFonts w:ascii="Arial" w:hAnsi="Arial" w:cs="Arial"/>
          <w:sz w:val="22"/>
          <w:szCs w:val="22"/>
        </w:rPr>
      </w:pPr>
      <w:r>
        <w:rPr>
          <w:rStyle w:val="Normaltextrun"/>
          <w:rFonts w:cs="Arial" w:ascii="Arial" w:hAnsi="Arial"/>
          <w:sz w:val="22"/>
          <w:szCs w:val="22"/>
        </w:rPr>
        <w:t>Tutti i processi dell’innovazione, vedono le competenze digitali, sia interne alle pubbliche amministrazioni, sia esterne e cioè della cittadinanza non solo come acceleratore delle loro fasi, ma anche come base comune indispensabile per un approccio qualificato al fine di un consolidamento del processo di cambiamento guidato dalle moderne tecnologie.</w:t>
      </w:r>
    </w:p>
    <w:p>
      <w:pPr>
        <w:pStyle w:val="Paragraph"/>
        <w:spacing w:lineRule="exact" w:line="280" w:beforeAutospacing="0" w:before="120" w:afterAutospacing="0" w:after="280"/>
        <w:jc w:val="both"/>
        <w:textAlignment w:val="baseline"/>
        <w:rPr>
          <w:rFonts w:ascii="Arial" w:hAnsi="Arial" w:cs="Arial"/>
          <w:sz w:val="22"/>
          <w:szCs w:val="22"/>
        </w:rPr>
      </w:pPr>
      <w:r>
        <w:rPr>
          <w:rStyle w:val="Normaltextrun"/>
          <w:rFonts w:cs="Arial" w:ascii="Arial" w:hAnsi="Arial"/>
          <w:sz w:val="22"/>
          <w:szCs w:val="22"/>
        </w:rPr>
        <w:t xml:space="preserve">In questo quadro la “Strategia nazionale per le competenze digitali”, elaborata, come il relativo </w:t>
      </w:r>
      <w:hyperlink r:id="rId35" w:tgtFrame="_blank">
        <w:r>
          <w:rPr>
            <w:rStyle w:val="ListLabel311"/>
            <w:rFonts w:cs="Arial" w:ascii="Arial" w:hAnsi="Arial"/>
            <w:sz w:val="22"/>
            <w:szCs w:val="22"/>
          </w:rPr>
          <w:t xml:space="preserve">Piano operativo pubblicato nel dicembre 2020, </w:t>
        </w:r>
      </w:hyperlink>
      <w:r>
        <w:rPr>
          <w:rStyle w:val="Normaltextrun"/>
          <w:rFonts w:cs="Arial" w:ascii="Arial" w:hAnsi="Arial"/>
          <w:sz w:val="22"/>
          <w:szCs w:val="22"/>
        </w:rPr>
        <w:t>nell’ambito dell’iniziativa strategica nazionale Repubblica Digitale, si articola su quattro assi di intervento.</w:t>
      </w:r>
    </w:p>
    <w:p>
      <w:pPr>
        <w:pStyle w:val="Paragraph"/>
        <w:spacing w:lineRule="exact" w:line="280" w:beforeAutospacing="0" w:before="120" w:afterAutospacing="0" w:after="280"/>
        <w:jc w:val="both"/>
        <w:textAlignment w:val="baseline"/>
        <w:rPr>
          <w:rFonts w:ascii="Arial" w:hAnsi="Arial" w:cs="Arial"/>
          <w:sz w:val="22"/>
          <w:szCs w:val="22"/>
        </w:rPr>
      </w:pPr>
      <w:r>
        <w:rPr>
          <w:rStyle w:val="Normaltextrun"/>
          <w:rFonts w:cs="Arial" w:ascii="Arial" w:hAnsi="Arial"/>
          <w:sz w:val="22"/>
          <w:szCs w:val="22"/>
        </w:rPr>
        <w:t>Tra le direttrici d’intervento rilevano le azioni di sensibilizzazione e di formazione che coinvolgano in primo luogo i dipendenti della Pubblica Amministrazione. A tal fine il Dipartimento della Funzione Pubblica ha avviato il progetto “</w:t>
      </w:r>
      <w:hyperlink r:id="rId36" w:tgtFrame="_blank">
        <w:r>
          <w:rPr>
            <w:rStyle w:val="ListLabel311"/>
            <w:rFonts w:cs="Arial" w:ascii="Arial" w:hAnsi="Arial"/>
            <w:sz w:val="22"/>
            <w:szCs w:val="22"/>
          </w:rPr>
          <w:t>Competenze digitali per la PA</w:t>
        </w:r>
      </w:hyperlink>
      <w:r>
        <w:rPr>
          <w:rStyle w:val="Normaltextrun"/>
          <w:rFonts w:cs="Arial" w:ascii="Arial" w:hAnsi="Arial"/>
          <w:sz w:val="22"/>
          <w:szCs w:val="22"/>
        </w:rPr>
        <w:t>” che mette a disposizione una piattaforma e contenuti formativi rivolti ad Amministrazioni differenziate per dimensioni e tipo di attività svolta (ad es. Comuni, Enti Pubblici non economici, Regioni).</w:t>
      </w:r>
    </w:p>
    <w:p>
      <w:pPr>
        <w:pStyle w:val="Paragraph"/>
        <w:spacing w:lineRule="exact" w:line="280" w:beforeAutospacing="0" w:before="120" w:afterAutospacing="0" w:after="280"/>
        <w:jc w:val="both"/>
        <w:textAlignment w:val="baseline"/>
        <w:rPr>
          <w:rFonts w:ascii="Arial" w:hAnsi="Arial" w:cs="Arial"/>
          <w:sz w:val="22"/>
          <w:szCs w:val="22"/>
          <w:highlight w:val="white"/>
        </w:rPr>
      </w:pPr>
      <w:r>
        <w:rPr>
          <w:rStyle w:val="Eop"/>
          <w:rFonts w:cs="Arial" w:ascii="Arial" w:hAnsi="Arial"/>
          <w:sz w:val="22"/>
          <w:szCs w:val="22"/>
        </w:rPr>
        <w:t>Per tali motivi il piano formativo dell’Unione vedrà certamente la presenza di interventi formativi basati sulla predetta piattaforma.</w:t>
      </w:r>
    </w:p>
    <w:p>
      <w:pPr>
        <w:pStyle w:val="ListParagraph"/>
        <w:numPr>
          <w:ilvl w:val="0"/>
          <w:numId w:val="11"/>
        </w:numPr>
        <w:tabs>
          <w:tab w:val="clear" w:pos="720"/>
          <w:tab w:val="left" w:pos="284" w:leader="none"/>
        </w:tabs>
        <w:spacing w:lineRule="exact" w:line="260" w:before="160" w:after="200"/>
        <w:ind w:hanging="360" w:left="284"/>
        <w:contextualSpacing/>
        <w:jc w:val="both"/>
        <w:rPr>
          <w:rFonts w:ascii="Arial" w:hAnsi="Arial" w:cs="Arial"/>
          <w:sz w:val="22"/>
          <w:szCs w:val="22"/>
        </w:rPr>
      </w:pPr>
      <w:r>
        <w:rPr>
          <w:rFonts w:cs="Arial" w:ascii="Arial" w:hAnsi="Arial"/>
          <w:sz w:val="22"/>
          <w:szCs w:val="22"/>
        </w:rPr>
        <w:t xml:space="preserve">L’ultima direttrice degli interventi formativi è finalizzata a garantire la migliore attuazione possibile del lavoro agile presso i comuni dell’Unione. </w:t>
      </w:r>
    </w:p>
    <w:p>
      <w:pPr>
        <w:pStyle w:val="Normal"/>
        <w:spacing w:lineRule="exact" w:line="260" w:before="120" w:after="0"/>
        <w:jc w:val="both"/>
        <w:rPr>
          <w:rFonts w:ascii="Arial" w:hAnsi="Arial" w:cs="Arial"/>
          <w:sz w:val="22"/>
          <w:szCs w:val="22"/>
        </w:rPr>
      </w:pPr>
      <w:r>
        <w:rPr>
          <w:rFonts w:cs="Arial" w:ascii="Arial" w:hAnsi="Arial"/>
          <w:sz w:val="22"/>
          <w:szCs w:val="22"/>
        </w:rPr>
        <w:t xml:space="preserve">Il consolidamento dello strumento del lavoro agile e da remoto impone infatti di approntare specifici interventi formativi per i dirigenti e i dipendenti modulati rispetto ai diversi ruoli e conoscenze richieste in tale ambito. </w:t>
      </w:r>
    </w:p>
    <w:p>
      <w:pPr>
        <w:pStyle w:val="Normal"/>
        <w:spacing w:lineRule="exact" w:line="260" w:before="120" w:after="0"/>
        <w:jc w:val="both"/>
        <w:rPr>
          <w:rFonts w:ascii="Arial" w:hAnsi="Arial" w:cs="Arial"/>
          <w:color w:val="000000"/>
          <w:sz w:val="22"/>
          <w:szCs w:val="22"/>
          <w:highlight w:val="white"/>
        </w:rPr>
      </w:pPr>
      <w:r>
        <w:rPr>
          <w:rStyle w:val="Normaltextrun"/>
          <w:rFonts w:cs="Arial" w:ascii="Arial" w:hAnsi="Arial"/>
          <w:color w:val="000000"/>
          <w:sz w:val="22"/>
          <w:szCs w:val="22"/>
          <w:shd w:fill="FFFFFF" w:val="clear"/>
        </w:rPr>
        <w:t>Il piano formativo per i dirigenti è finalizzato a dotarli di nuove competenze digitali, nonché delle competenze necessarie per una diversa organizzazione del lavoro e per modalità di coordinamento indispensabili ad una gestione efficiente del lavoro agile.</w:t>
      </w:r>
    </w:p>
    <w:p>
      <w:pPr>
        <w:pStyle w:val="Paragraph"/>
        <w:spacing w:lineRule="exact" w:line="260" w:beforeAutospacing="0" w:before="120" w:afterAutospacing="0" w:after="280"/>
        <w:jc w:val="both"/>
        <w:textAlignment w:val="baseline"/>
        <w:rPr>
          <w:rFonts w:ascii="Arial" w:hAnsi="Arial" w:cs="Arial"/>
          <w:sz w:val="22"/>
          <w:szCs w:val="22"/>
        </w:rPr>
      </w:pPr>
      <w:r>
        <w:rPr>
          <w:rStyle w:val="Normaltextrun"/>
          <w:rFonts w:cs="Arial" w:ascii="Arial" w:hAnsi="Arial"/>
          <w:sz w:val="22"/>
          <w:szCs w:val="22"/>
        </w:rPr>
        <w:t xml:space="preserve">La definizione del Piano formativo dei dipendenti, è stata preceduta da una </w:t>
      </w:r>
      <w:r>
        <w:rPr>
          <w:rStyle w:val="Normaltextrun"/>
          <w:rFonts w:cs="Arial" w:ascii="Arial" w:hAnsi="Arial"/>
          <w:bCs/>
          <w:sz w:val="22"/>
          <w:szCs w:val="22"/>
        </w:rPr>
        <w:t>mappatura delle competenze</w:t>
      </w:r>
      <w:r>
        <w:rPr>
          <w:rStyle w:val="Normaltextrun"/>
          <w:rFonts w:cs="Arial" w:ascii="Arial" w:hAnsi="Arial"/>
          <w:sz w:val="22"/>
          <w:szCs w:val="22"/>
        </w:rPr>
        <w:t xml:space="preserve"> che ha permesso di rilevare eventuali criticità rispetto alle competenze gestionali- manageriali e alle competenze digitali necessarie, che ha permesso di orientare gli interventi formativi al fine di accrescere:</w:t>
      </w:r>
    </w:p>
    <w:p>
      <w:pPr>
        <w:pStyle w:val="Paragraph"/>
        <w:numPr>
          <w:ilvl w:val="0"/>
          <w:numId w:val="12"/>
        </w:numPr>
        <w:tabs>
          <w:tab w:val="clear" w:pos="720"/>
          <w:tab w:val="left" w:pos="280" w:leader="none"/>
        </w:tabs>
        <w:spacing w:lineRule="exact" w:line="260" w:beforeAutospacing="0" w:before="120" w:afterAutospacing="0" w:after="0"/>
        <w:ind w:hanging="283" w:left="283"/>
        <w:jc w:val="both"/>
        <w:textAlignment w:val="baseline"/>
        <w:rPr>
          <w:rFonts w:ascii="Arial" w:hAnsi="Arial" w:cs="Arial"/>
          <w:sz w:val="22"/>
          <w:szCs w:val="22"/>
        </w:rPr>
      </w:pPr>
      <w:r>
        <w:rPr>
          <w:rStyle w:val="Normaltextrun"/>
          <w:rFonts w:cs="Arial" w:ascii="Arial" w:hAnsi="Arial"/>
          <w:bCs/>
          <w:sz w:val="22"/>
          <w:szCs w:val="22"/>
        </w:rPr>
        <w:t>dal punto di vista delle competenze gestionali-manageriali</w:t>
      </w:r>
      <w:r>
        <w:rPr>
          <w:rStyle w:val="Eop"/>
          <w:rFonts w:cs="Arial" w:ascii="Arial" w:hAnsi="Arial"/>
          <w:sz w:val="22"/>
          <w:szCs w:val="22"/>
        </w:rPr>
        <w:t>:</w:t>
      </w:r>
    </w:p>
    <w:p>
      <w:pPr>
        <w:pStyle w:val="Paragraph"/>
        <w:numPr>
          <w:ilvl w:val="1"/>
          <w:numId w:val="12"/>
        </w:numPr>
        <w:tabs>
          <w:tab w:val="clear" w:pos="720"/>
          <w:tab w:val="left" w:pos="570" w:leader="none"/>
        </w:tabs>
        <w:spacing w:lineRule="exact" w:line="260" w:beforeAutospacing="0" w:before="0" w:afterAutospacing="0" w:after="0"/>
        <w:ind w:hanging="283" w:left="567"/>
        <w:jc w:val="both"/>
        <w:textAlignment w:val="baseline"/>
        <w:rPr>
          <w:rFonts w:ascii="Arial" w:hAnsi="Arial" w:cs="Arial"/>
          <w:sz w:val="22"/>
          <w:szCs w:val="22"/>
        </w:rPr>
      </w:pPr>
      <w:r>
        <w:rPr>
          <w:rStyle w:val="Normaltextrun"/>
          <w:rFonts w:cs="Arial" w:ascii="Arial" w:hAnsi="Arial"/>
          <w:sz w:val="22"/>
          <w:szCs w:val="22"/>
        </w:rPr>
        <w:t>l’autonomia operativa e la capacità di lavorare per obiettivi, orientando la propria attività al risultato</w:t>
      </w:r>
    </w:p>
    <w:p>
      <w:pPr>
        <w:pStyle w:val="Paragraph"/>
        <w:numPr>
          <w:ilvl w:val="1"/>
          <w:numId w:val="12"/>
        </w:numPr>
        <w:tabs>
          <w:tab w:val="clear" w:pos="720"/>
          <w:tab w:val="left" w:pos="570" w:leader="none"/>
        </w:tabs>
        <w:spacing w:lineRule="exact" w:line="260" w:beforeAutospacing="0" w:before="0" w:afterAutospacing="0" w:after="0"/>
        <w:ind w:hanging="283" w:left="567"/>
        <w:jc w:val="both"/>
        <w:textAlignment w:val="baseline"/>
        <w:rPr>
          <w:rFonts w:ascii="Arial" w:hAnsi="Arial" w:cs="Arial"/>
          <w:sz w:val="22"/>
          <w:szCs w:val="22"/>
        </w:rPr>
      </w:pPr>
      <w:r>
        <w:rPr>
          <w:rStyle w:val="Normaltextrun"/>
          <w:rFonts w:cs="Arial" w:ascii="Arial" w:hAnsi="Arial"/>
          <w:sz w:val="22"/>
          <w:szCs w:val="22"/>
        </w:rPr>
        <w:t>la capacità di gestire il tempo e di rispettare le scadenze lavorative</w:t>
      </w:r>
    </w:p>
    <w:p>
      <w:pPr>
        <w:pStyle w:val="Paragraph"/>
        <w:numPr>
          <w:ilvl w:val="1"/>
          <w:numId w:val="12"/>
        </w:numPr>
        <w:tabs>
          <w:tab w:val="clear" w:pos="720"/>
          <w:tab w:val="left" w:pos="570" w:leader="none"/>
        </w:tabs>
        <w:spacing w:lineRule="exact" w:line="260" w:beforeAutospacing="0" w:before="0" w:afterAutospacing="0" w:after="0"/>
        <w:ind w:hanging="283" w:left="567"/>
        <w:jc w:val="both"/>
        <w:textAlignment w:val="baseline"/>
        <w:rPr>
          <w:rFonts w:ascii="Arial" w:hAnsi="Arial" w:cs="Arial"/>
          <w:sz w:val="22"/>
          <w:szCs w:val="22"/>
        </w:rPr>
      </w:pPr>
      <w:r>
        <w:rPr>
          <w:rStyle w:val="Normaltextrun"/>
          <w:rFonts w:cs="Arial" w:ascii="Arial" w:hAnsi="Arial"/>
          <w:sz w:val="22"/>
          <w:szCs w:val="22"/>
        </w:rPr>
        <w:t>la capacità di monitorare e rendicontare le attività svolte</w:t>
      </w:r>
    </w:p>
    <w:p>
      <w:pPr>
        <w:pStyle w:val="Paragraph"/>
        <w:numPr>
          <w:ilvl w:val="0"/>
          <w:numId w:val="12"/>
        </w:numPr>
        <w:tabs>
          <w:tab w:val="clear" w:pos="720"/>
          <w:tab w:val="left" w:pos="340" w:leader="none"/>
        </w:tabs>
        <w:spacing w:lineRule="exact" w:line="260" w:beforeAutospacing="0" w:before="0" w:afterAutospacing="0" w:after="0"/>
        <w:ind w:hanging="283" w:left="283"/>
        <w:jc w:val="both"/>
        <w:textAlignment w:val="baseline"/>
        <w:rPr>
          <w:rFonts w:ascii="Arial" w:hAnsi="Arial" w:cs="Arial"/>
          <w:sz w:val="22"/>
          <w:szCs w:val="22"/>
        </w:rPr>
      </w:pPr>
      <w:r>
        <w:rPr>
          <w:rStyle w:val="Normaltextrun"/>
          <w:rFonts w:cs="Arial" w:ascii="Arial" w:hAnsi="Arial"/>
          <w:bCs/>
          <w:sz w:val="22"/>
          <w:szCs w:val="22"/>
        </w:rPr>
        <w:t>dal punto di vista delle competenze digitali</w:t>
      </w:r>
    </w:p>
    <w:p>
      <w:pPr>
        <w:pStyle w:val="Paragraph"/>
        <w:numPr>
          <w:ilvl w:val="1"/>
          <w:numId w:val="12"/>
        </w:numPr>
        <w:tabs>
          <w:tab w:val="clear" w:pos="720"/>
          <w:tab w:val="left" w:pos="340" w:leader="none"/>
          <w:tab w:val="left" w:pos="620" w:leader="none"/>
        </w:tabs>
        <w:spacing w:lineRule="exact" w:line="260" w:beforeAutospacing="0" w:before="0" w:afterAutospacing="0" w:after="0"/>
        <w:ind w:hanging="283" w:left="567"/>
        <w:jc w:val="both"/>
        <w:textAlignment w:val="baseline"/>
        <w:rPr>
          <w:rFonts w:ascii="Arial" w:hAnsi="Arial" w:cs="Arial"/>
          <w:sz w:val="22"/>
          <w:szCs w:val="22"/>
        </w:rPr>
      </w:pPr>
      <w:r>
        <w:rPr>
          <w:rStyle w:val="Normaltextrun"/>
          <w:rFonts w:cs="Arial" w:ascii="Arial" w:hAnsi="Arial"/>
          <w:sz w:val="22"/>
          <w:szCs w:val="22"/>
        </w:rPr>
        <w:t>La capacità di utilizzare gli strumenti di connessione al desktop remoto</w:t>
      </w:r>
    </w:p>
    <w:p>
      <w:pPr>
        <w:pStyle w:val="Paragraph"/>
        <w:numPr>
          <w:ilvl w:val="1"/>
          <w:numId w:val="12"/>
        </w:numPr>
        <w:tabs>
          <w:tab w:val="clear" w:pos="720"/>
          <w:tab w:val="left" w:pos="340" w:leader="none"/>
          <w:tab w:val="left" w:pos="620" w:leader="none"/>
        </w:tabs>
        <w:spacing w:lineRule="exact" w:line="260" w:beforeAutospacing="0" w:before="0" w:afterAutospacing="0" w:after="0"/>
        <w:ind w:hanging="283" w:left="567"/>
        <w:jc w:val="both"/>
        <w:textAlignment w:val="baseline"/>
        <w:rPr>
          <w:rFonts w:ascii="Arial" w:hAnsi="Arial" w:cs="Arial"/>
          <w:sz w:val="22"/>
          <w:szCs w:val="22"/>
        </w:rPr>
      </w:pPr>
      <w:r>
        <w:rPr>
          <w:rStyle w:val="Normaltextrun"/>
          <w:rFonts w:cs="Arial" w:ascii="Arial" w:hAnsi="Arial"/>
          <w:sz w:val="22"/>
          <w:szCs w:val="22"/>
        </w:rPr>
        <w:t>La capacità di utilizzare gli strumenti per le video conferenze</w:t>
      </w:r>
    </w:p>
    <w:p>
      <w:pPr>
        <w:pStyle w:val="Paragraph"/>
        <w:numPr>
          <w:ilvl w:val="1"/>
          <w:numId w:val="12"/>
        </w:numPr>
        <w:tabs>
          <w:tab w:val="clear" w:pos="720"/>
          <w:tab w:val="left" w:pos="340" w:leader="none"/>
          <w:tab w:val="left" w:pos="620" w:leader="none"/>
        </w:tabs>
        <w:spacing w:lineRule="exact" w:line="260" w:beforeAutospacing="0" w:before="0" w:afterAutospacing="0" w:after="280"/>
        <w:ind w:hanging="283" w:left="567"/>
        <w:jc w:val="both"/>
        <w:textAlignment w:val="baseline"/>
        <w:rPr>
          <w:rFonts w:ascii="Arial" w:hAnsi="Arial" w:cs="Arial"/>
          <w:sz w:val="22"/>
          <w:szCs w:val="22"/>
        </w:rPr>
      </w:pPr>
      <w:r>
        <w:rPr>
          <w:rStyle w:val="Normaltextrun"/>
          <w:rFonts w:cs="Arial" w:ascii="Arial" w:hAnsi="Arial"/>
          <w:sz w:val="22"/>
          <w:szCs w:val="22"/>
        </w:rPr>
        <w:t>La capacità di utilizzare strumenti di collaborazione (calendario condiviso, agenda e attività, ecc.)</w:t>
      </w:r>
    </w:p>
    <w:p>
      <w:pPr>
        <w:pStyle w:val="Normal"/>
        <w:widowControl w:val="false"/>
        <w:tabs>
          <w:tab w:val="clear" w:pos="720"/>
          <w:tab w:val="left" w:pos="940" w:leader="none"/>
        </w:tabs>
        <w:ind w:right="338"/>
        <w:jc w:val="both"/>
        <w:rPr>
          <w:rFonts w:ascii="Arial" w:hAnsi="Arial" w:cs="Arial"/>
        </w:rPr>
      </w:pPr>
      <w:r>
        <w:rPr>
          <w:rFonts w:cs="Arial" w:ascii="Arial" w:hAnsi="Arial"/>
        </w:rPr>
      </w:r>
    </w:p>
    <w:p>
      <w:pPr>
        <w:pStyle w:val="Normal"/>
        <w:widowControl w:val="false"/>
        <w:tabs>
          <w:tab w:val="clear" w:pos="720"/>
          <w:tab w:val="left" w:pos="940" w:leader="none"/>
        </w:tabs>
        <w:ind w:right="23"/>
        <w:jc w:val="both"/>
        <w:rPr>
          <w:rFonts w:ascii="Arial" w:hAnsi="Arial" w:cs="Arial"/>
          <w:sz w:val="22"/>
          <w:szCs w:val="22"/>
        </w:rPr>
      </w:pPr>
      <w:r>
        <w:rPr>
          <w:rFonts w:cs="Arial" w:ascii="Arial" w:hAnsi="Arial"/>
          <w:sz w:val="22"/>
          <w:szCs w:val="22"/>
        </w:rPr>
        <w:t>A ciò si aggiunga, tra le altre, la formazione prevista dal Comune in tema di lavoro agile, come meglio indicata alla sezione 3.2 Sottosezione “Organizzazione del Lavoro Agile” del presente PIAO, al cui interno viene indicato il percorso di formazione in materia.</w:t>
      </w:r>
    </w:p>
    <w:p>
      <w:pPr>
        <w:pStyle w:val="Normal"/>
        <w:widowControl w:val="false"/>
        <w:tabs>
          <w:tab w:val="clear" w:pos="720"/>
          <w:tab w:val="left" w:pos="940" w:leader="none"/>
        </w:tabs>
        <w:ind w:right="23"/>
        <w:jc w:val="both"/>
        <w:rPr>
          <w:rFonts w:ascii="Arial" w:hAnsi="Arial" w:cs="Arial"/>
          <w:sz w:val="22"/>
          <w:szCs w:val="22"/>
        </w:rPr>
      </w:pPr>
      <w:r>
        <w:rPr>
          <w:rFonts w:cs="Arial" w:ascii="Arial" w:hAnsi="Arial"/>
          <w:sz w:val="22"/>
          <w:szCs w:val="22"/>
        </w:rPr>
      </w:r>
    </w:p>
    <w:p>
      <w:pPr>
        <w:pStyle w:val="Normal"/>
        <w:widowControl w:val="false"/>
        <w:tabs>
          <w:tab w:val="clear" w:pos="720"/>
          <w:tab w:val="left" w:pos="940" w:leader="none"/>
        </w:tabs>
        <w:ind w:right="23"/>
        <w:jc w:val="both"/>
        <w:rPr>
          <w:rFonts w:ascii="Arial" w:hAnsi="Arial" w:cs="Arial"/>
          <w:sz w:val="22"/>
          <w:szCs w:val="22"/>
        </w:rPr>
      </w:pPr>
      <w:r>
        <w:rPr>
          <w:rFonts w:cs="Arial" w:ascii="Arial" w:hAnsi="Arial"/>
          <w:sz w:val="22"/>
          <w:szCs w:val="22"/>
        </w:rPr>
        <w:t>Un’importante direttrice di interventi per il 2026 continuerà ad essere rappresentata da proposte formative finalizzate a supportare gli Uffici nella realizzazione degli interventi finanziati con risorse del PNRR e prevederà percorsi sia di carattere giuridico (sui contenuti specifici degli atti regolatori delle procedure di affidamento, dei capitolati e dei contratti di appalto), sia di carattere contabile relativamente alle modalità di rendicontazione degli interventi eseguiti.</w:t>
      </w:r>
    </w:p>
    <w:p>
      <w:pPr>
        <w:pStyle w:val="Normal"/>
        <w:widowControl w:val="false"/>
        <w:tabs>
          <w:tab w:val="clear" w:pos="720"/>
          <w:tab w:val="left" w:pos="940" w:leader="none"/>
        </w:tabs>
        <w:ind w:right="338"/>
        <w:jc w:val="both"/>
        <w:rPr>
          <w:rFonts w:ascii="Arial" w:hAnsi="Arial" w:cs="Arial"/>
          <w:sz w:val="22"/>
          <w:szCs w:val="22"/>
        </w:rPr>
      </w:pPr>
      <w:r>
        <w:rPr>
          <w:rFonts w:cs="Arial" w:ascii="Arial" w:hAnsi="Arial"/>
          <w:sz w:val="22"/>
          <w:szCs w:val="22"/>
        </w:rPr>
      </w:r>
    </w:p>
    <w:p>
      <w:pPr>
        <w:pStyle w:val="NormalWeb"/>
        <w:shd w:val="clear" w:color="auto" w:fill="FFFFFF"/>
        <w:spacing w:beforeAutospacing="0" w:before="280" w:afterAutospacing="0" w:after="150"/>
        <w:jc w:val="both"/>
        <w:rPr>
          <w:rFonts w:ascii="Arial" w:hAnsi="Arial" w:cs="Arial"/>
          <w:sz w:val="22"/>
          <w:szCs w:val="22"/>
        </w:rPr>
      </w:pPr>
      <w:r>
        <w:rPr>
          <w:rFonts w:cs="Arial" w:ascii="Arial" w:hAnsi="Arial"/>
          <w:sz w:val="22"/>
          <w:szCs w:val="22"/>
        </w:rPr>
        <w:t>Per tutti gli interventi sopra indicati verrà utilizzata in modo prioritario rispetto ad altri strumenti di formazione la nuova piattaforma Syllabus, dedicata alla formazione di tutti i dipendenti pubblici, quale strumento digitale voluto dal Governo per accrescere le competenze professionali del personale dipendente e per la costruzione di nuove conoscenze</w:t>
      </w:r>
    </w:p>
    <w:p>
      <w:pPr>
        <w:pStyle w:val="NormalWeb"/>
        <w:shd w:val="clear" w:color="auto" w:fill="FFFFFF"/>
        <w:spacing w:beforeAutospacing="0" w:before="280" w:afterAutospacing="0" w:after="150"/>
        <w:jc w:val="both"/>
        <w:rPr>
          <w:rFonts w:ascii="Arial" w:hAnsi="Arial" w:cs="Arial"/>
          <w:sz w:val="22"/>
          <w:szCs w:val="22"/>
        </w:rPr>
      </w:pPr>
      <w:r>
        <w:rPr>
          <w:rFonts w:cs="Arial" w:ascii="Arial" w:hAnsi="Arial"/>
          <w:sz w:val="22"/>
          <w:szCs w:val="22"/>
        </w:rPr>
        <w:t xml:space="preserve">Con la </w:t>
      </w:r>
      <w:hyperlink r:id="rId37">
        <w:r>
          <w:rPr>
            <w:rStyle w:val="ListLabel312"/>
            <w:rFonts w:eastAsia="" w:cs="Arial" w:ascii="Arial" w:hAnsi="Arial" w:eastAsiaTheme="majorEastAsia"/>
            <w:b w:val="false"/>
            <w:bCs/>
            <w:sz w:val="22"/>
            <w:szCs w:val="22"/>
          </w:rPr>
          <w:t>direttiva del Ministro per la Pubblica amministrazione</w:t>
        </w:r>
      </w:hyperlink>
      <w:r>
        <w:rPr>
          <w:rFonts w:cs="Arial" w:ascii="Arial" w:hAnsi="Arial"/>
          <w:sz w:val="22"/>
          <w:szCs w:val="22"/>
        </w:rPr>
        <w:t>Paolo Zangrillo, firmata lo scorso 24 marzo 2024 vengono indicati gli obiettivi da raggiungere, i temi prioritari della formazione e gli incentivi legati al percorso formativo. Il portale offre percorsi e-learning personalizzati, con corsi costantemente aggiornati per una formazione “in crescita”. Tutti i contenuti di Syllabus sono fruibili anche su smartphone e tablet, digitali e accessibili grazie all’assistente LIS, per un’esperienza aperta a tutti “senza barriere”.</w:t>
      </w:r>
    </w:p>
    <w:p>
      <w:pPr>
        <w:pStyle w:val="NormalWeb"/>
        <w:shd w:val="clear" w:color="auto" w:fill="FFFFFF"/>
        <w:spacing w:beforeAutospacing="0" w:before="280" w:afterAutospacing="0" w:after="150"/>
        <w:jc w:val="both"/>
        <w:rPr>
          <w:rFonts w:ascii="Arial" w:hAnsi="Arial" w:cs="Arial"/>
          <w:sz w:val="22"/>
          <w:szCs w:val="22"/>
        </w:rPr>
      </w:pPr>
      <w:r>
        <w:rPr>
          <w:rFonts w:cs="Arial" w:ascii="Arial" w:hAnsi="Arial"/>
          <w:sz w:val="22"/>
          <w:szCs w:val="22"/>
        </w:rPr>
        <w:t>Tutti i dipendenti dell’Ente sono stati registrati ed abilitati ad accedere ai corsi di formazione erogati attraverso tale Piattaforma e nel 2026, come già avvenuto nel 2025, concorderanno con i Responsabili di riferimento i percorsi formativi personalizzati da seguire.</w:t>
      </w:r>
      <w:r>
        <w:br w:type="page"/>
      </w:r>
    </w:p>
    <w:p>
      <w:pPr>
        <w:pStyle w:val="Normal"/>
        <w:spacing w:before="0" w:after="0"/>
        <w:rPr>
          <w:rFonts w:ascii="Arial" w:hAnsi="Arial" w:cs="Arial"/>
          <w:sz w:val="22"/>
          <w:szCs w:val="22"/>
        </w:rPr>
      </w:pPr>
      <w:r>
        <w:rPr>
          <w:rFonts w:cs="Arial" w:ascii="Arial" w:hAnsi="Arial"/>
          <w:sz w:val="28"/>
          <w:szCs w:val="28"/>
        </w:rPr>
        <w:t>4.GOVERNANCE E MONITORAGGIO</w:t>
      </w:r>
    </w:p>
    <w:p>
      <w:pPr>
        <w:pStyle w:val="Normal"/>
        <w:spacing w:lineRule="exact" w:line="280" w:before="120" w:after="0"/>
        <w:jc w:val="both"/>
        <w:rPr>
          <w:rFonts w:ascii="Arial" w:hAnsi="Arial" w:cs="Arial"/>
          <w:color w:val="000000"/>
          <w:sz w:val="22"/>
          <w:szCs w:val="22"/>
        </w:rPr>
      </w:pPr>
      <w:r>
        <w:rPr>
          <w:rFonts w:cs="Arial" w:ascii="Arial" w:hAnsi="Arial"/>
          <w:color w:val="000000"/>
          <w:sz w:val="22"/>
          <w:szCs w:val="22"/>
        </w:rPr>
        <w:t>Sebbene non obbligatoria per l’ente, in questa sezione sono indicate le modalità di governance del processo di stesura e le modalità di monitoraggio del PIAO che il Comune di Marano sul Panaro prevede di attivare, al fine di garantire le finalità di coerenza ed armonizzazione degli strumenti di programmazione.</w:t>
      </w:r>
    </w:p>
    <w:p>
      <w:pPr>
        <w:pStyle w:val="Normal"/>
        <w:spacing w:lineRule="exact" w:line="280" w:before="120" w:after="0"/>
        <w:jc w:val="both"/>
        <w:rPr>
          <w:rFonts w:ascii="Arial" w:hAnsi="Arial" w:cs="Arial"/>
          <w:color w:val="FF0000"/>
          <w:sz w:val="22"/>
          <w:szCs w:val="22"/>
        </w:rPr>
      </w:pPr>
      <w:r>
        <w:rPr>
          <w:rFonts w:cs="Arial" w:ascii="Arial" w:hAnsi="Arial"/>
          <w:color w:val="FF0000"/>
          <w:sz w:val="22"/>
          <w:szCs w:val="22"/>
        </w:rPr>
      </w:r>
    </w:p>
    <w:p>
      <w:pPr>
        <w:pStyle w:val="Titolo21"/>
        <w:numPr>
          <w:ilvl w:val="1"/>
          <w:numId w:val="22"/>
        </w:numPr>
        <w:spacing w:lineRule="exact" w:line="280" w:before="120" w:after="0"/>
        <w:rPr/>
      </w:pPr>
      <w:bookmarkStart w:id="27" w:name="_Toc188008168"/>
      <w:r>
        <w:rPr/>
        <w:t>Governance del PIAO</w:t>
      </w:r>
      <w:bookmarkEnd w:id="27"/>
    </w:p>
    <w:p>
      <w:pPr>
        <w:pStyle w:val="Normal"/>
        <w:spacing w:lineRule="exact" w:line="280" w:before="120" w:after="0"/>
        <w:jc w:val="both"/>
        <w:rPr>
          <w:rFonts w:ascii="Arial" w:hAnsi="Arial" w:cs="Arial"/>
          <w:color w:val="FF0000"/>
          <w:sz w:val="22"/>
          <w:szCs w:val="22"/>
        </w:rPr>
      </w:pPr>
      <w:r>
        <w:rPr>
          <w:rFonts w:cs="Arial" w:ascii="Arial" w:hAnsi="Arial"/>
          <w:color w:val="000000"/>
          <w:sz w:val="22"/>
          <w:szCs w:val="22"/>
        </w:rPr>
        <w:t>L’interdisciplinarietà e l’innovatività di questo strumento di programmazione rende necessario prevedere una modalità di governance in grado di garantire sinergia e complementarietà in fase di progettazione del format del documento, stesura e collazione dei diversi contributi, verifica della sua coerenza con le prescrizioni normative e con le priorità dell’Amministrazione.</w:t>
      </w:r>
    </w:p>
    <w:p>
      <w:pPr>
        <w:pStyle w:val="Normal"/>
        <w:spacing w:lineRule="exact" w:line="280" w:before="120" w:after="0"/>
        <w:jc w:val="both"/>
        <w:rPr>
          <w:rFonts w:ascii="Arial" w:hAnsi="Arial" w:cs="Arial"/>
          <w:color w:val="FF0000"/>
          <w:sz w:val="22"/>
          <w:szCs w:val="22"/>
        </w:rPr>
      </w:pPr>
      <w:r>
        <w:rPr>
          <w:rFonts w:cs="Arial" w:ascii="Arial" w:hAnsi="Arial"/>
          <w:color w:val="000000"/>
          <w:sz w:val="22"/>
          <w:szCs w:val="22"/>
        </w:rPr>
        <w:t xml:space="preserve">Il Comune, in considerazione della struttura organizzativa estremamente snella, affida tali compiti al Comitato di Direzione, costituito dai Responsabili dei Servizi, in ragione delle rispettive competenze. L’attività di controllo svolta dai predetti servizi è coordinata dal Segretario. </w:t>
      </w:r>
    </w:p>
    <w:p>
      <w:pPr>
        <w:pStyle w:val="Normal"/>
        <w:rPr>
          <w:rFonts w:ascii="Arial" w:hAnsi="Arial" w:cs="Arial"/>
          <w:color w:val="FF0000"/>
        </w:rPr>
      </w:pPr>
      <w:r>
        <w:rPr>
          <w:rFonts w:cs="Arial" w:ascii="Arial" w:hAnsi="Arial"/>
          <w:color w:val="FF0000"/>
        </w:rPr>
      </w:r>
    </w:p>
    <w:p>
      <w:pPr>
        <w:pStyle w:val="Titolo21"/>
        <w:numPr>
          <w:ilvl w:val="1"/>
          <w:numId w:val="22"/>
        </w:numPr>
        <w:spacing w:lineRule="exact" w:line="280" w:before="120" w:after="0"/>
        <w:ind w:hanging="567" w:left="567"/>
        <w:rPr/>
      </w:pPr>
      <w:bookmarkStart w:id="28" w:name="_Toc188008169"/>
      <w:r>
        <w:rPr/>
        <w:t>Monitoraggio del PIAO</w:t>
      </w:r>
      <w:bookmarkEnd w:id="28"/>
    </w:p>
    <w:p>
      <w:pPr>
        <w:pStyle w:val="Normal"/>
        <w:spacing w:before="120" w:after="0"/>
        <w:rPr>
          <w:rFonts w:ascii="Arial" w:hAnsi="Arial" w:cs="Arial"/>
          <w:color w:val="FF0000"/>
          <w:sz w:val="22"/>
          <w:szCs w:val="22"/>
        </w:rPr>
      </w:pPr>
      <w:r>
        <w:rPr>
          <w:rFonts w:cs="Arial" w:ascii="Arial" w:hAnsi="Arial"/>
          <w:color w:val="000000"/>
          <w:sz w:val="22"/>
          <w:szCs w:val="22"/>
        </w:rPr>
        <w:t>Di seguito sono indicati i soggetti coinvolti e le modalità di monitoraggio previste.</w:t>
      </w:r>
    </w:p>
    <w:p>
      <w:pPr>
        <w:pStyle w:val="Normal"/>
        <w:rPr>
          <w:rFonts w:ascii="Arial" w:hAnsi="Arial" w:cs="Arial"/>
          <w:color w:val="FF0000"/>
          <w:sz w:val="22"/>
          <w:szCs w:val="22"/>
        </w:rPr>
      </w:pPr>
      <w:r>
        <w:rPr>
          <w:rFonts w:cs="Arial" w:ascii="Arial" w:hAnsi="Arial"/>
          <w:color w:val="FF0000"/>
          <w:sz w:val="22"/>
          <w:szCs w:val="22"/>
        </w:rPr>
      </w:r>
    </w:p>
    <w:tbl>
      <w:tblPr>
        <w:tblStyle w:val="Grigliatabella"/>
        <w:tblW w:w="9520" w:type="dxa"/>
        <w:jc w:val="left"/>
        <w:tblInd w:w="442" w:type="dxa"/>
        <w:tblLayout w:type="fixed"/>
        <w:tblCellMar>
          <w:top w:w="0" w:type="dxa"/>
          <w:left w:w="108" w:type="dxa"/>
          <w:bottom w:w="0" w:type="dxa"/>
          <w:right w:w="108" w:type="dxa"/>
        </w:tblCellMar>
        <w:tblLook w:val="04a0"/>
      </w:tblPr>
      <w:tblGrid>
        <w:gridCol w:w="2679"/>
        <w:gridCol w:w="2934"/>
        <w:gridCol w:w="3907"/>
      </w:tblGrid>
      <w:tr>
        <w:trPr/>
        <w:tc>
          <w:tcPr>
            <w:tcW w:w="2679" w:type="dxa"/>
            <w:tcBorders/>
            <w:shd w:color="auto" w:fill="BFBFBF" w:themeFill="background1" w:themeFillShade="bf" w:val="clear"/>
          </w:tcPr>
          <w:p>
            <w:pPr>
              <w:pStyle w:val="Normal"/>
              <w:widowControl/>
              <w:suppressAutoHyphens w:val="true"/>
              <w:spacing w:before="120" w:after="120"/>
              <w:jc w:val="center"/>
              <w:rPr>
                <w:rFonts w:ascii="Arial" w:hAnsi="Arial" w:cs="Arial"/>
                <w:b/>
                <w:iCs/>
                <w:color w:val="FF0000"/>
                <w:sz w:val="22"/>
                <w:szCs w:val="22"/>
              </w:rPr>
            </w:pPr>
            <w:r>
              <w:rPr>
                <w:rFonts w:cs="Arial" w:ascii="Arial" w:hAnsi="Arial"/>
                <w:b/>
                <w:iCs/>
                <w:color w:val="000000"/>
                <w:kern w:val="0"/>
                <w:sz w:val="22"/>
                <w:szCs w:val="22"/>
                <w:lang w:val="it-IT" w:eastAsia="en-US" w:bidi="ar-SA"/>
              </w:rPr>
              <w:t>Sezione/Sottosezione</w:t>
            </w:r>
          </w:p>
        </w:tc>
        <w:tc>
          <w:tcPr>
            <w:tcW w:w="2934" w:type="dxa"/>
            <w:tcBorders/>
            <w:shd w:color="auto" w:fill="BFBFBF" w:themeFill="background1" w:themeFillShade="bf" w:val="clear"/>
          </w:tcPr>
          <w:p>
            <w:pPr>
              <w:pStyle w:val="Normal"/>
              <w:widowControl/>
              <w:suppressAutoHyphens w:val="true"/>
              <w:spacing w:before="120" w:after="120"/>
              <w:jc w:val="left"/>
              <w:rPr>
                <w:rFonts w:ascii="Arial" w:hAnsi="Arial" w:cs="Arial"/>
                <w:b/>
                <w:iCs/>
                <w:color w:val="FF0000"/>
                <w:sz w:val="22"/>
                <w:szCs w:val="22"/>
              </w:rPr>
            </w:pPr>
            <w:r>
              <w:rPr>
                <w:rFonts w:cs="Arial" w:ascii="Arial" w:hAnsi="Arial"/>
                <w:b/>
                <w:iCs/>
                <w:color w:val="000000"/>
                <w:kern w:val="0"/>
                <w:sz w:val="22"/>
                <w:szCs w:val="22"/>
                <w:lang w:val="it-IT" w:eastAsia="en-US" w:bidi="ar-SA"/>
              </w:rPr>
              <w:t>Soggetto che sovraintende il controllo</w:t>
            </w:r>
          </w:p>
        </w:tc>
        <w:tc>
          <w:tcPr>
            <w:tcW w:w="3907" w:type="dxa"/>
            <w:tcBorders/>
            <w:shd w:color="auto" w:fill="BFBFBF" w:themeFill="background1" w:themeFillShade="bf" w:val="clear"/>
          </w:tcPr>
          <w:p>
            <w:pPr>
              <w:pStyle w:val="Normal"/>
              <w:widowControl/>
              <w:suppressAutoHyphens w:val="true"/>
              <w:spacing w:before="120" w:after="120"/>
              <w:jc w:val="center"/>
              <w:rPr>
                <w:rFonts w:ascii="Arial" w:hAnsi="Arial" w:cs="Arial"/>
                <w:b/>
                <w:iCs/>
                <w:color w:val="FF0000"/>
                <w:sz w:val="22"/>
                <w:szCs w:val="22"/>
              </w:rPr>
            </w:pPr>
            <w:r>
              <w:rPr>
                <w:rFonts w:cs="Arial" w:ascii="Arial" w:hAnsi="Arial"/>
                <w:b/>
                <w:iCs/>
                <w:color w:val="000000"/>
                <w:kern w:val="0"/>
                <w:sz w:val="22"/>
                <w:szCs w:val="22"/>
                <w:lang w:val="it-IT" w:eastAsia="en-US" w:bidi="ar-SA"/>
              </w:rPr>
              <w:t>Modalità</w:t>
            </w:r>
          </w:p>
        </w:tc>
      </w:tr>
      <w:tr>
        <w:trPr/>
        <w:tc>
          <w:tcPr>
            <w:tcW w:w="2679" w:type="dxa"/>
            <w:vMerge w:val="restart"/>
            <w:tcBorders/>
            <w:shd w:color="auto" w:fill="auto" w:val="clear"/>
            <w:vAlign w:val="center"/>
          </w:tcPr>
          <w:p>
            <w:pPr>
              <w:pStyle w:val="Normal"/>
              <w:widowControl/>
              <w:suppressAutoHyphens w:val="true"/>
              <w:spacing w:before="120" w:after="120"/>
              <w:jc w:val="left"/>
              <w:rPr>
                <w:rFonts w:ascii="Arial" w:hAnsi="Arial" w:cs="Arial"/>
                <w:b/>
                <w:i/>
                <w:i/>
                <w:iCs/>
                <w:color w:val="FF0000"/>
                <w:sz w:val="22"/>
                <w:szCs w:val="22"/>
              </w:rPr>
            </w:pPr>
            <w:r>
              <w:rPr>
                <w:rFonts w:cs="Arial" w:ascii="Arial" w:hAnsi="Arial"/>
                <w:b/>
                <w:i/>
                <w:iCs/>
                <w:color w:val="000000"/>
                <w:kern w:val="0"/>
                <w:sz w:val="22"/>
                <w:szCs w:val="22"/>
                <w:lang w:val="it-IT" w:eastAsia="en-US" w:bidi="ar-SA"/>
              </w:rPr>
              <w:t>Rischi corruttivi e Trasparenza</w:t>
            </w:r>
          </w:p>
        </w:tc>
        <w:tc>
          <w:tcPr>
            <w:tcW w:w="2934" w:type="dxa"/>
            <w:tcBorders>
              <w:top w:val="nil"/>
              <w:bottom w:val="nil"/>
            </w:tcBorders>
            <w:shd w:color="auto" w:fill="auto" w:val="clear"/>
            <w:vAlign w:val="center"/>
          </w:tcPr>
          <w:p>
            <w:pPr>
              <w:pStyle w:val="Normal"/>
              <w:widowControl/>
              <w:suppressAutoHyphens w:val="true"/>
              <w:spacing w:before="120" w:after="120"/>
              <w:jc w:val="left"/>
              <w:rPr>
                <w:rFonts w:ascii="Arial" w:hAnsi="Arial" w:cs="Arial"/>
                <w:i/>
                <w:i/>
                <w:iCs/>
                <w:color w:val="FF0000"/>
                <w:sz w:val="22"/>
                <w:szCs w:val="22"/>
              </w:rPr>
            </w:pPr>
            <w:r>
              <w:rPr>
                <w:rFonts w:cs="Arial" w:ascii="Arial" w:hAnsi="Arial"/>
                <w:i/>
                <w:iCs/>
                <w:color w:val="000000"/>
                <w:kern w:val="0"/>
                <w:sz w:val="22"/>
                <w:szCs w:val="22"/>
                <w:lang w:val="it-IT" w:eastAsia="en-US" w:bidi="ar-SA"/>
              </w:rPr>
              <w:t>RPCT</w:t>
            </w:r>
          </w:p>
        </w:tc>
        <w:tc>
          <w:tcPr>
            <w:tcW w:w="3907" w:type="dxa"/>
            <w:tcBorders/>
            <w:shd w:color="auto" w:fill="auto" w:val="clear"/>
          </w:tcPr>
          <w:p>
            <w:pPr>
              <w:pStyle w:val="Normal"/>
              <w:widowControl/>
              <w:suppressAutoHyphens w:val="true"/>
              <w:spacing w:before="120" w:after="120"/>
              <w:jc w:val="both"/>
              <w:rPr>
                <w:rFonts w:ascii="Arial" w:hAnsi="Arial" w:cs="Arial"/>
                <w:i/>
                <w:i/>
                <w:iCs/>
                <w:color w:val="FF0000"/>
                <w:sz w:val="22"/>
                <w:szCs w:val="22"/>
              </w:rPr>
            </w:pPr>
            <w:r>
              <w:rPr>
                <w:rFonts w:cs="Arial" w:ascii="Arial" w:hAnsi="Arial"/>
                <w:i/>
                <w:iCs/>
                <w:color w:val="000000"/>
                <w:kern w:val="0"/>
                <w:sz w:val="22"/>
                <w:szCs w:val="22"/>
                <w:lang w:val="it-IT" w:eastAsia="en-US" w:bidi="ar-SA"/>
              </w:rPr>
              <w:t>Verifica semestrale sull’attuazione delle misure</w:t>
            </w:r>
          </w:p>
        </w:tc>
      </w:tr>
      <w:tr>
        <w:trPr/>
        <w:tc>
          <w:tcPr>
            <w:tcW w:w="2679" w:type="dxa"/>
            <w:vMerge w:val="continue"/>
            <w:tcBorders/>
            <w:shd w:color="auto" w:fill="auto" w:val="clear"/>
          </w:tcPr>
          <w:p>
            <w:pPr>
              <w:pStyle w:val="Normal"/>
              <w:widowControl/>
              <w:suppressAutoHyphens w:val="true"/>
              <w:spacing w:before="120" w:after="120"/>
              <w:jc w:val="left"/>
              <w:rPr>
                <w:rFonts w:ascii="Arial" w:hAnsi="Arial" w:cs="Arial"/>
                <w:b/>
                <w:i/>
                <w:i/>
                <w:iCs/>
                <w:color w:val="FF0000"/>
                <w:sz w:val="22"/>
                <w:szCs w:val="22"/>
              </w:rPr>
            </w:pPr>
            <w:r>
              <w:rPr>
                <w:rFonts w:cs="Arial" w:ascii="Arial" w:hAnsi="Arial"/>
                <w:b/>
                <w:i/>
                <w:iCs/>
                <w:color w:val="FF0000"/>
                <w:sz w:val="22"/>
                <w:szCs w:val="22"/>
              </w:rPr>
            </w:r>
          </w:p>
        </w:tc>
        <w:tc>
          <w:tcPr>
            <w:tcW w:w="2934" w:type="dxa"/>
            <w:tcBorders>
              <w:top w:val="nil"/>
            </w:tcBorders>
            <w:shd w:color="auto" w:fill="auto" w:val="clear"/>
            <w:vAlign w:val="center"/>
          </w:tcPr>
          <w:p>
            <w:pPr>
              <w:pStyle w:val="Normal"/>
              <w:widowControl/>
              <w:suppressAutoHyphens w:val="true"/>
              <w:spacing w:before="120" w:after="120"/>
              <w:jc w:val="left"/>
              <w:rPr>
                <w:rFonts w:ascii="Arial" w:hAnsi="Arial" w:cs="Arial"/>
                <w:i/>
                <w:i/>
                <w:iCs/>
                <w:color w:val="FF0000"/>
                <w:sz w:val="22"/>
                <w:szCs w:val="22"/>
              </w:rPr>
            </w:pPr>
            <w:r>
              <w:rPr>
                <w:rFonts w:cs="Arial" w:ascii="Arial" w:hAnsi="Arial"/>
                <w:i/>
                <w:iCs/>
                <w:color w:val="000000"/>
                <w:kern w:val="0"/>
                <w:sz w:val="22"/>
                <w:szCs w:val="22"/>
                <w:lang w:val="it-IT" w:eastAsia="en-US" w:bidi="ar-SA"/>
              </w:rPr>
              <w:t>Nucleo di Valutazione</w:t>
            </w:r>
          </w:p>
        </w:tc>
        <w:tc>
          <w:tcPr>
            <w:tcW w:w="3907" w:type="dxa"/>
            <w:tcBorders/>
            <w:shd w:color="auto" w:fill="auto" w:val="clear"/>
          </w:tcPr>
          <w:p>
            <w:pPr>
              <w:pStyle w:val="Normal"/>
              <w:widowControl/>
              <w:suppressAutoHyphens w:val="true"/>
              <w:spacing w:before="120" w:after="120"/>
              <w:jc w:val="both"/>
              <w:rPr>
                <w:rFonts w:ascii="Arial" w:hAnsi="Arial" w:cs="Arial"/>
                <w:i/>
                <w:i/>
                <w:iCs/>
                <w:color w:val="FF0000"/>
                <w:sz w:val="22"/>
                <w:szCs w:val="22"/>
              </w:rPr>
            </w:pPr>
            <w:r>
              <w:rPr>
                <w:rFonts w:cs="Arial" w:ascii="Arial" w:hAnsi="Arial"/>
                <w:i/>
                <w:iCs/>
                <w:color w:val="000000"/>
                <w:kern w:val="0"/>
                <w:sz w:val="22"/>
                <w:szCs w:val="22"/>
                <w:lang w:val="it-IT" w:eastAsia="en-US" w:bidi="ar-SA"/>
              </w:rPr>
              <w:t>Verifica annuale rispetto adempimenti trasparenza su indicazioni ANAC</w:t>
            </w:r>
          </w:p>
        </w:tc>
      </w:tr>
      <w:tr>
        <w:trPr/>
        <w:tc>
          <w:tcPr>
            <w:tcW w:w="2679" w:type="dxa"/>
            <w:tcBorders/>
            <w:shd w:color="auto" w:fill="auto" w:val="clear"/>
          </w:tcPr>
          <w:p>
            <w:pPr>
              <w:pStyle w:val="Normal"/>
              <w:widowControl/>
              <w:suppressAutoHyphens w:val="true"/>
              <w:spacing w:before="120" w:after="120"/>
              <w:jc w:val="left"/>
              <w:rPr>
                <w:rFonts w:ascii="Arial" w:hAnsi="Arial" w:cs="Arial"/>
                <w:b/>
                <w:i/>
                <w:i/>
                <w:iCs/>
                <w:color w:val="FF0000"/>
                <w:sz w:val="22"/>
                <w:szCs w:val="22"/>
              </w:rPr>
            </w:pPr>
            <w:r>
              <w:rPr>
                <w:rFonts w:cs="Arial" w:ascii="Arial" w:hAnsi="Arial"/>
                <w:b/>
                <w:i/>
                <w:iCs/>
                <w:color w:val="000000"/>
                <w:kern w:val="0"/>
                <w:sz w:val="22"/>
                <w:szCs w:val="22"/>
                <w:lang w:val="it-IT" w:eastAsia="en-US" w:bidi="ar-SA"/>
              </w:rPr>
              <w:t>Struttura organizzativa</w:t>
            </w:r>
          </w:p>
        </w:tc>
        <w:tc>
          <w:tcPr>
            <w:tcW w:w="2934" w:type="dxa"/>
            <w:tcBorders/>
            <w:shd w:color="auto" w:fill="auto" w:val="clear"/>
            <w:vAlign w:val="center"/>
          </w:tcPr>
          <w:p>
            <w:pPr>
              <w:pStyle w:val="Normal"/>
              <w:widowControl/>
              <w:suppressAutoHyphens w:val="true"/>
              <w:spacing w:before="120" w:after="120"/>
              <w:jc w:val="left"/>
              <w:rPr>
                <w:rFonts w:ascii="Arial" w:hAnsi="Arial" w:cs="Arial"/>
                <w:i/>
                <w:i/>
                <w:iCs/>
                <w:color w:val="FF0000"/>
                <w:sz w:val="22"/>
                <w:szCs w:val="22"/>
              </w:rPr>
            </w:pPr>
            <w:r>
              <w:rPr>
                <w:rFonts w:cs="Arial" w:ascii="Arial" w:hAnsi="Arial"/>
                <w:i/>
                <w:iCs/>
                <w:color w:val="000000"/>
                <w:kern w:val="0"/>
                <w:sz w:val="22"/>
                <w:szCs w:val="22"/>
                <w:lang w:val="it-IT" w:eastAsia="en-US" w:bidi="ar-SA"/>
              </w:rPr>
              <w:t>Nucleo di Valutazione</w:t>
            </w:r>
          </w:p>
        </w:tc>
        <w:tc>
          <w:tcPr>
            <w:tcW w:w="3907" w:type="dxa"/>
            <w:tcBorders/>
            <w:shd w:color="auto" w:fill="auto" w:val="clear"/>
            <w:vAlign w:val="center"/>
          </w:tcPr>
          <w:p>
            <w:pPr>
              <w:pStyle w:val="Normal"/>
              <w:widowControl/>
              <w:suppressAutoHyphens w:val="true"/>
              <w:spacing w:before="120" w:after="120"/>
              <w:jc w:val="left"/>
              <w:rPr>
                <w:rFonts w:ascii="Arial" w:hAnsi="Arial" w:cs="Arial"/>
                <w:i/>
                <w:i/>
                <w:iCs/>
                <w:color w:val="FF0000"/>
                <w:sz w:val="22"/>
                <w:szCs w:val="22"/>
              </w:rPr>
            </w:pPr>
            <w:r>
              <w:rPr>
                <w:rFonts w:cs="Arial" w:ascii="Arial" w:hAnsi="Arial"/>
                <w:i/>
                <w:iCs/>
                <w:color w:val="000000"/>
                <w:kern w:val="0"/>
                <w:sz w:val="22"/>
                <w:szCs w:val="22"/>
                <w:lang w:val="it-IT" w:eastAsia="en-US" w:bidi="ar-SA"/>
              </w:rPr>
              <w:t>Al variare del modello organizzativo</w:t>
            </w:r>
          </w:p>
        </w:tc>
      </w:tr>
      <w:tr>
        <w:trPr/>
        <w:tc>
          <w:tcPr>
            <w:tcW w:w="2679" w:type="dxa"/>
            <w:tcBorders/>
            <w:shd w:color="auto" w:fill="auto" w:val="clear"/>
            <w:vAlign w:val="center"/>
          </w:tcPr>
          <w:p>
            <w:pPr>
              <w:pStyle w:val="Normal"/>
              <w:widowControl/>
              <w:suppressAutoHyphens w:val="true"/>
              <w:spacing w:before="120" w:after="120"/>
              <w:jc w:val="left"/>
              <w:rPr>
                <w:rFonts w:ascii="Arial" w:hAnsi="Arial" w:cs="Arial"/>
                <w:b/>
                <w:i/>
                <w:i/>
                <w:iCs/>
                <w:color w:val="FF0000"/>
                <w:sz w:val="22"/>
                <w:szCs w:val="22"/>
              </w:rPr>
            </w:pPr>
            <w:r>
              <w:rPr>
                <w:rFonts w:cs="Arial" w:ascii="Arial" w:hAnsi="Arial"/>
                <w:b/>
                <w:i/>
                <w:iCs/>
                <w:color w:val="000000"/>
                <w:kern w:val="0"/>
                <w:sz w:val="22"/>
                <w:szCs w:val="22"/>
                <w:lang w:val="it-IT" w:eastAsia="en-US" w:bidi="ar-SA"/>
              </w:rPr>
              <w:t>Lavoro agile</w:t>
            </w:r>
          </w:p>
        </w:tc>
        <w:tc>
          <w:tcPr>
            <w:tcW w:w="2934" w:type="dxa"/>
            <w:tcBorders/>
            <w:shd w:color="auto" w:fill="auto" w:val="clear"/>
            <w:vAlign w:val="center"/>
          </w:tcPr>
          <w:p>
            <w:pPr>
              <w:pStyle w:val="Normal"/>
              <w:widowControl/>
              <w:suppressAutoHyphens w:val="true"/>
              <w:spacing w:before="120" w:after="120"/>
              <w:jc w:val="left"/>
              <w:rPr>
                <w:rFonts w:ascii="Arial" w:hAnsi="Arial" w:cs="Arial"/>
                <w:i/>
                <w:i/>
                <w:iCs/>
                <w:color w:val="FF0000"/>
                <w:sz w:val="22"/>
                <w:szCs w:val="22"/>
                <w:highlight w:val="yellow"/>
              </w:rPr>
            </w:pPr>
            <w:r>
              <w:rPr>
                <w:rFonts w:cs="Arial" w:ascii="Arial" w:hAnsi="Arial"/>
                <w:i/>
                <w:iCs/>
                <w:color w:val="000000"/>
                <w:kern w:val="0"/>
                <w:sz w:val="22"/>
                <w:szCs w:val="22"/>
                <w:lang w:val="it-IT" w:eastAsia="en-US" w:bidi="ar-SA"/>
              </w:rPr>
              <w:t>Nucleo di Valutazione</w:t>
            </w:r>
          </w:p>
        </w:tc>
        <w:tc>
          <w:tcPr>
            <w:tcW w:w="3907" w:type="dxa"/>
            <w:tcBorders/>
            <w:shd w:color="auto" w:fill="auto" w:val="clear"/>
            <w:vAlign w:val="center"/>
          </w:tcPr>
          <w:p>
            <w:pPr>
              <w:pStyle w:val="Normal"/>
              <w:widowControl/>
              <w:suppressAutoHyphens w:val="true"/>
              <w:spacing w:before="120" w:after="120"/>
              <w:jc w:val="both"/>
              <w:rPr>
                <w:rFonts w:ascii="Arial" w:hAnsi="Arial" w:cs="Arial"/>
                <w:i/>
                <w:i/>
                <w:iCs/>
                <w:color w:val="FF0000"/>
                <w:sz w:val="22"/>
                <w:szCs w:val="22"/>
                <w:highlight w:val="yellow"/>
              </w:rPr>
            </w:pPr>
            <w:r>
              <w:rPr>
                <w:rFonts w:cs="Arial" w:ascii="Arial" w:hAnsi="Arial"/>
                <w:i/>
                <w:iCs/>
                <w:color w:val="000000"/>
                <w:kern w:val="0"/>
                <w:sz w:val="22"/>
                <w:szCs w:val="22"/>
                <w:lang w:val="it-IT" w:eastAsia="en-US" w:bidi="ar-SA"/>
              </w:rPr>
              <w:t>Verifica annuale dei risultati nella Relazione sulla Performance</w:t>
            </w:r>
          </w:p>
        </w:tc>
      </w:tr>
      <w:tr>
        <w:trPr/>
        <w:tc>
          <w:tcPr>
            <w:tcW w:w="2679" w:type="dxa"/>
            <w:tcBorders/>
            <w:shd w:color="auto" w:fill="auto" w:val="clear"/>
            <w:vAlign w:val="center"/>
          </w:tcPr>
          <w:p>
            <w:pPr>
              <w:pStyle w:val="Normal"/>
              <w:widowControl/>
              <w:suppressAutoHyphens w:val="true"/>
              <w:spacing w:before="120" w:after="120"/>
              <w:jc w:val="left"/>
              <w:rPr>
                <w:rFonts w:ascii="Arial" w:hAnsi="Arial" w:cs="Arial"/>
                <w:b/>
                <w:i/>
                <w:i/>
                <w:iCs/>
                <w:color w:val="FF0000"/>
                <w:sz w:val="22"/>
                <w:szCs w:val="22"/>
              </w:rPr>
            </w:pPr>
            <w:r>
              <w:rPr>
                <w:rFonts w:cs="Arial" w:ascii="Arial" w:hAnsi="Arial"/>
                <w:b/>
                <w:i/>
                <w:iCs/>
                <w:color w:val="000000"/>
                <w:kern w:val="0"/>
                <w:sz w:val="22"/>
                <w:szCs w:val="22"/>
                <w:lang w:val="it-IT" w:eastAsia="en-US" w:bidi="ar-SA"/>
              </w:rPr>
              <w:t>Piano triennale dei fabbisogni del Personale</w:t>
            </w:r>
          </w:p>
        </w:tc>
        <w:tc>
          <w:tcPr>
            <w:tcW w:w="2934" w:type="dxa"/>
            <w:tcBorders/>
            <w:shd w:color="auto" w:fill="auto" w:val="clear"/>
            <w:vAlign w:val="center"/>
          </w:tcPr>
          <w:p>
            <w:pPr>
              <w:pStyle w:val="Normal"/>
              <w:widowControl/>
              <w:suppressAutoHyphens w:val="true"/>
              <w:spacing w:before="120" w:after="120"/>
              <w:jc w:val="left"/>
              <w:rPr>
                <w:rFonts w:ascii="Arial" w:hAnsi="Arial" w:cs="Arial"/>
                <w:i/>
                <w:i/>
                <w:iCs/>
                <w:color w:val="FF0000"/>
                <w:sz w:val="22"/>
                <w:szCs w:val="22"/>
              </w:rPr>
            </w:pPr>
            <w:r>
              <w:rPr>
                <w:rFonts w:cs="Arial" w:ascii="Arial" w:hAnsi="Arial"/>
                <w:i/>
                <w:iCs/>
                <w:color w:val="000000"/>
                <w:kern w:val="0"/>
                <w:sz w:val="22"/>
                <w:szCs w:val="22"/>
                <w:lang w:val="it-IT" w:eastAsia="en-US" w:bidi="ar-SA"/>
              </w:rPr>
              <w:t>Nucleo di Valutazione</w:t>
            </w:r>
          </w:p>
        </w:tc>
        <w:tc>
          <w:tcPr>
            <w:tcW w:w="3907" w:type="dxa"/>
            <w:tcBorders/>
            <w:shd w:color="auto" w:fill="auto" w:val="clear"/>
            <w:vAlign w:val="center"/>
          </w:tcPr>
          <w:p>
            <w:pPr>
              <w:pStyle w:val="Normal"/>
              <w:widowControl/>
              <w:suppressAutoHyphens w:val="true"/>
              <w:spacing w:before="120" w:after="120"/>
              <w:jc w:val="both"/>
              <w:rPr>
                <w:rFonts w:ascii="Arial" w:hAnsi="Arial" w:cs="Arial"/>
                <w:i/>
                <w:i/>
                <w:iCs/>
                <w:color w:val="FF0000"/>
                <w:sz w:val="22"/>
                <w:szCs w:val="22"/>
              </w:rPr>
            </w:pPr>
            <w:r>
              <w:rPr>
                <w:rFonts w:cs="Arial" w:ascii="Arial" w:hAnsi="Arial"/>
                <w:i/>
                <w:iCs/>
                <w:color w:val="000000"/>
                <w:kern w:val="0"/>
                <w:sz w:val="22"/>
                <w:szCs w:val="22"/>
                <w:lang w:val="it-IT" w:eastAsia="en-US" w:bidi="ar-SA"/>
              </w:rPr>
              <w:t>Verifica della coerenza con obiettivi di performance annuali – verifica triennale</w:t>
            </w:r>
          </w:p>
        </w:tc>
      </w:tr>
    </w:tbl>
    <w:p>
      <w:pPr>
        <w:pStyle w:val="Normal"/>
        <w:spacing w:before="120" w:after="120"/>
        <w:rPr>
          <w:rFonts w:ascii="Arial" w:hAnsi="Arial" w:cs="Arial"/>
          <w:i/>
          <w:i/>
          <w:iCs/>
          <w:color w:val="FF0000"/>
        </w:rPr>
      </w:pPr>
      <w:r>
        <w:rPr>
          <w:rFonts w:cs="Arial" w:ascii="Arial" w:hAnsi="Arial"/>
          <w:i/>
          <w:iCs/>
          <w:color w:val="FF0000"/>
        </w:rPr>
      </w:r>
    </w:p>
    <w:p>
      <w:pPr>
        <w:pStyle w:val="Normal"/>
        <w:spacing w:before="120" w:after="120"/>
        <w:rPr/>
      </w:pPr>
      <w:r>
        <w:rPr/>
      </w:r>
    </w:p>
    <w:sectPr>
      <w:footerReference w:type="default" r:id="rId38"/>
      <w:footerReference w:type="first" r:id="rId39"/>
      <w:footnotePr>
        <w:numFmt w:val="decimal"/>
      </w:footnotePr>
      <w:type w:val="nextPage"/>
      <w:pgSz w:w="11906" w:h="16838"/>
      <w:pgMar w:left="940" w:right="1020" w:gutter="0" w:header="0" w:top="1340" w:footer="670" w:bottom="9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Arial">
    <w:charset w:val="00"/>
    <w:family w:val="roman"/>
    <w:pitch w:val="variable"/>
  </w:font>
  <w:font w:name="Tahoma">
    <w:charset w:val="00"/>
    <w:family w:val="roman"/>
    <w:pitch w:val="variable"/>
  </w:font>
  <w:font w:name="OpenSymbol">
    <w:altName w:val="Arial Unicode MS"/>
    <w:charset w:val="00"/>
    <w:family w:val="roman"/>
    <w:pitch w:val="variable"/>
  </w:font>
  <w:font w:name="Wingdings">
    <w:charset w:val="00"/>
    <w:family w:val="roman"/>
    <w:pitch w:val="variable"/>
  </w:font>
  <w:font w:name="Symbol">
    <w:charset w:val="00"/>
    <w:family w:val="roman"/>
    <w:pitch w:val="variable"/>
  </w:font>
  <w:font w:name="Arial Unicode MS">
    <w:charset w:val="00"/>
    <w:family w:val="roman"/>
    <w:pitch w:val="variable"/>
  </w:font>
  <w:font w:name="Liberation Sans">
    <w:altName w:val="Arial"/>
    <w:charset w:val="00"/>
    <w:family w:val="roman"/>
    <w:pitch w:val="variable"/>
  </w:font>
  <w:font w:name="Microsoft Sans Serif">
    <w:charset w:val="00"/>
    <w:family w:val="roman"/>
    <w:pitch w:val="variable"/>
  </w:font>
  <w:font w:name="Garamond">
    <w:charset w:val="00"/>
    <w:family w:val="roman"/>
    <w:pitch w:val="variable"/>
  </w:font>
  <w:font w:name="Arial MT">
    <w:charset w:val="00"/>
    <w:family w:val="roman"/>
    <w:pitch w:val="variable"/>
  </w:font>
  <w:font w:name="News Serif">
    <w:charset w:val="00"/>
    <w:family w:val="roman"/>
    <w:pitch w:val="variable"/>
  </w:font>
  <w:font w:name="Times-Roman">
    <w:altName w:val="Times New Roman"/>
    <w:charset w:val="00"/>
    <w:family w:val="roman"/>
    <w:pitch w:val="variable"/>
  </w:font>
  <w:font w:name="Aptos Narrow">
    <w:charset w:val="00"/>
    <w:family w:val="roman"/>
    <w:pitch w:val="variable"/>
  </w:font>
  <w:font w:name="Aptos">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63664920"/>
    </w:sdtPr>
    <w:sdtContent>
      <w:p>
        <w:pPr>
          <w:pStyle w:val="Pidipagina1"/>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sz w:val="20"/>
            <w:szCs w:val="20"/>
          </w:rPr>
          <w:t>1</w:t>
        </w:r>
        <w:r>
          <w:rPr>
            <w:rStyle w:val="Pagenumber"/>
            <w:sz w:val="20"/>
            <w:szCs w:val="20"/>
          </w:rPr>
          <w:fldChar w:fldCharType="end"/>
        </w:r>
      </w:p>
      <w:p>
        <w:pPr>
          <w:pStyle w:val="Pidipagina1"/>
          <w:ind w:right="360"/>
          <w:rPr>
            <w:i/>
            <w:i/>
            <w:iCs/>
            <w:sz w:val="20"/>
            <w:szCs w:val="20"/>
          </w:rPr>
        </w:pPr>
        <w:r>
          <w:rPr>
            <w:i/>
            <w:iCs/>
            <w:sz w:val="20"/>
            <w:szCs w:val="20"/>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Ildocumento è a cura di Eugenio Arcidiacono – Area politiche per la sicurezza urbana, legalità e polizia locale del Gabinetto della Presidenza della Giunta.</w:t>
      </w:r>
    </w:p>
  </w:footnote>
  <w:footnote w:id="3">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Si fa riferimento ai luoghi in cui il fenomeno mafioso è storicamente nato e si è sviluppato, ovvero alcune aree circoscritte del Mezzogiorno d’Italia; più precisamente, la Sicilia occidentale per quanto riguarda Cosa Nostra, la Calabria meridionale in relazione alla ‘Ndrangheta e il Napoletano con riferimento alla Camorra. Per rimanere nell’ambito delle mafie autoctone, a queste occorre aggiungere la Sacra Corona Unita, costituitasi in tempi più recenti nella Puglia meridionale. Come noto, anche quest'ultima, al pari delle altre organizzazioni, si è espansa sia all’interno della propria regione d’origine sia in altri territori.</w:t>
      </w:r>
    </w:p>
  </w:footnote>
  <w:footnote w:id="4">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L’idea che ci fossero aree del Paese immuni dal fenomeno mafioso si fondava sulla diffusa quanto errata convinzione che le mafie fossero il prodotto esclusivo del sottosviluppo del Mezzogiorno. La realtà dei fatti ha però smentito questa visione, rivelandone oltretutto il carattere fuorviante. Si può infatti sostenere che essa non solo ha alimentato a lungo l’illusione che le organizzazioni mafiose non potessero radicarsi nelle regioni più sviluppate, ma soprattutto ha limitato la capacità della società civile di riconoscerne per tempo i segnali della loro presenza e diffusione.</w:t>
      </w:r>
    </w:p>
  </w:footnote>
  <w:footnote w:id="5">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All’interno di questo sistema criminale, la violenza naturalmente resta una risorsa fondamentale che i gruppi mafiosi gestiscono verosimilmente in un regime di monopolio e che utilizzano come estremo rimedio quando occorre rimuovere gli ostacoli che ne impediscono il funzionamento.</w:t>
      </w:r>
    </w:p>
  </w:footnote>
  <w:footnote w:id="6">
    <w:p>
      <w:pPr>
        <w:pStyle w:val="FootnoteText"/>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Sono note, infatti, le intimidazioni o le minacceavvenute in regione nei confronti di giornalisti, politici, imprenditori o, come è successo ultimamente, nei confronti di magistrati e operatori di giustizia.</w:t>
      </w:r>
    </w:p>
  </w:footnote>
  <w:footnote w:id="7">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Per una loro caratteristica intrinseca i dati ricavati dalle denunce non danno conto della parte "sommersa" dei fenomeni considerati e per questa ragione, più che riflettere l’effettivo livello di criminalità esprimono sia la tendenza dei cittadini a denunciare che l’efficacia delle forze di polizia nel contrastare le organizzazioni criminali.</w:t>
      </w:r>
    </w:p>
  </w:footnote>
  <w:footnote w:id="8">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Sono moltissimi gli studi, le analisi e le ricerche empirichesulla presenza mafiosa nel territorio regionale realizzate sia direttamente dalla Regione o a cui quest’ultima ha indirettamente contribuito sia nell’ambito di programmi autonomi di ricerche accademiche. Qui occorre ricordare i seguenti numeri monografici dei Quaderni di città sicure realizzati nell’ambito delle attività dell’ex Servizio politiche per la sicurezza urbana e la polizia locale (già Progetto “Città Sicure”) e dell’attuale Settore sicurezza urbana e legalità della Regione Emilia-Romagna: n. 11b (1997); n. 29 (2004); n. 39 (2012); n. 41 (2016); n. 42 (2018). Per un elenco esaustivo delle pubblicazioni sulla criminalità organizzata dedicate alla nostra regione rimandiamo al sito internet della Biblioteca dell’Assemblea Legislativa della Regione Emilia-Romagna, in particolare alla sezione “Criminalità e sicurezza” (www.assemblea.emr.it/biblioteca/criminalita).</w:t>
      </w:r>
    </w:p>
  </w:footnote>
  <w:footnote w:id="9">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L’estorsione è una tipica attività mafiosarealizzata solitamente ai danni di operatori economici, benché possano configurarsi come estorsioni anche atti criminali non necessariamente commessi con il metodo mafioso. Nel nostro ordinamento non è previsto il reato di estorsione organizzata (ad esempio quella di tipo mafioso), ma l’unica norma penale che lo sanziona comprende diverse possibilità estorsive, compresa appunto quella organizzata e mafiosa.</w:t>
      </w:r>
    </w:p>
  </w:footnote>
  <w:footnote w:id="10">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Nelle analisi sulle mafie questi reati generalmente sono utilizzati come indicatori di controllo mafioso del territorio.</w:t>
      </w:r>
    </w:p>
  </w:footnote>
  <w:footnote w:id="11">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Come è noto, quello della droga è un mercato complesso e articolato, all’interno del quale si muovono potenti organizzazioni criminali che ne stabiliscono l’andamento e la gestione a qualunque livello. Dal narcotrafficole organizzazioni criminali traggono enormi guadagni che investono nell’economia legale, acquisendo, attraverso complicate attività di riciclaggio, esercizi commerciali, quote azionarie, immobili, aziende di vario tipo, e così via.</w:t>
      </w:r>
    </w:p>
  </w:footnote>
  <w:footnote w:id="12">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Al pari del mercato della droga, anche quello della prostituzione è un mercato estremamente complesso, in continua evoluzione e fiorente. Come è noto, nel nostro paese la prostituzione non è proibita, né è proibito l’acquisto di prestazioni sessuali a pagamento, ma sono invece punite tutta una serie di condotte collaterali che in qualche modo favoriscono o incoraggiano questo tipo di attività. Lo sfruttamento della prostituzione, così come il favoreggiamento, l’induzione o il reclutamento, sono infatti attività criminali esercitate da soggetti che dal meretricio di altre persone - di solito donne, benché esista anche una prostituzione maschile e, soprattutto, transessuale e minorile - traggono un vantaggio economico personale. Attività criminali alla cui base vi è spesso un esteso ricorso alla violenza nei confronti delle persone sfruttate che si estrinseca in svariati modi: dalle minacce alle intimidazioni, dalla coercizione fisica all’usura, e così via. (Quello della prostituzione è un settore di attività molto variegato, al cui interno naturalmente non è raro incontrare persone che svolgono l’attività della prostituzione libere dallo sfruttamento e perciò che sono in grado di gestirsi autonomamente, si pensi ad esempio a quante svolgono questa attività soltanto in modo saltuario).</w:t>
      </w:r>
    </w:p>
  </w:footnote>
  <w:footnote w:id="13">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 xml:space="preserve">Per furti e rapine organizzate intendiamo i seguenti reati: furti di opere d’arte e di materiale archeologico; furti di automezzi pesanti trasportanti merci; rapine in banca, negli uffici postali e negli esercizi commerciali. Come si può vedere, tra le molteplici forme che possono assumere i furti e le rapine, quelli appena elencati sono senz’altro quelli che richiedono una elevatissima capacità professionale e organizzativa per essere commessi.  </w:t>
      </w:r>
    </w:p>
  </w:footnote>
  <w:footnote w:id="14">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Quello della ricettazione è un universo complesso e variegato, all’interno del quale si muovono soggetti che di solito svolgono l’attività di ricettazione in modo abituale, comprando la maggior parte degli oggetti rubati e reintroducendoli, attraverso varie strade, talvolta nel mercato legale, altre in quello illegale. La ricettazione è pertanto un’attività generalmente organizzata che funziona attraverso una rete di ladri, fiancheggiatori, distributori, acquirenti, ecc.</w:t>
      </w:r>
    </w:p>
  </w:footnote>
  <w:footnote w:id="15">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All’interno del Codice penale, truffe, frodi e contraffazioni rappresentano fattispecie distinte, ma poiché presentano alcuni tratti essenziali in comune qui sono state considerate come un unico fenomeno criminale. Tutte le fattispecie in questione, infatti, denotano comportamenti fraudolenti a danno di qualcuno e ricadono nella sfera della cosiddetta criminalità economica. Questi reati sono cresciuti costantemente negli ultimi anni, alimentando una vera e propria industria criminale - spesso a carattere transnazionale - in grado di danneggiare, come del resto si può immaginare, in modo sensibile l’economia legale.</w:t>
      </w:r>
    </w:p>
  </w:footnote>
  <w:footnote w:id="16">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Il riciclaggio di denaro è il processo con cui si nasconde l’origine illecita dello stesso per introdurlo successivamente nelle attività economiche legali, condizionando in questo modo la stabilità, l’integrità, le condizioni di corretto funzionamento e di concorrenza dei mercati finanziari e, in generale, del contesto economico-sociale. Poiché è a questo tipo di attività che la criminalità organizzata - ma non solo - ricorre per bonificare i propri capitali, il riciclaggio costituisce in qualche modo l’attività terminale di una serie di altre attività criminali, solitamente organizzate, da cui di fatto tali capitali provengono (il riciclaggio, infatti, presuppone sempre un reato precedente, come ad esempio il traffico degli stupefacenti). Per riciclare la criminalità si serve di solito di professionisti (avvocati, contabili, notai, ecc.), i quali possono sia essere strutturati nell’organizzazione, dedicandosi in modo esclusivo al riciclaggio dei proventi illeciti del sodalizio a cui appartengono, oppure lavorare dall’esterno, offrendo appunto servizi di riciclaggio a chiunque sia disposto a pagarli.Il riciclaggio dei capitali illeciti avviene attraverso varie fasi e una molteplicità di canali che si vanno sempre di più affinando e moltiplicando man mano che aumentano gli strumenti per contrastarlo: dalla immissione dei capitali nel circuito finanziario attraverso banche, società finanziarie, uffici di cambio, centri off-shore e altri intermediari, alla loro trasformazione in oro, preziosi, oggetti di valore, assegni derivanti da false vincite al gioco, ecc., fino all’investimento in attività lecite a ripulitura avvenuta.</w:t>
      </w:r>
    </w:p>
  </w:footnote>
  <w:footnote w:id="17">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 xml:space="preserve">Anche quello dell’usura è un universo variegato, all’interno del quale agiscono diversi soggetti, tra i quali certamente un ruolo rilevante lo ricoprono le mafie. </w:t>
      </w:r>
    </w:p>
  </w:footnote>
  <w:footnote w:id="18">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Sul totale di oltre tre milioni e cinquecentomila delitti denunciati in Emilia-Romagna nei sedici anni considerati, le fattispecie di tipo associativo rappresentano da sole circa l’8%.</w:t>
      </w:r>
    </w:p>
  </w:footnote>
  <w:footnote w:id="19">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Tale fenomeno è connotato prevalentemente dal reato di abuso di ufficio, il cui peso in termini numerici assorbe più dei due terzi delle denunce.</w:t>
      </w:r>
    </w:p>
  </w:footnote>
  <w:footnote w:id="20">
    <w:p>
      <w:pPr>
        <w:pStyle w:val="FootnoteText"/>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Tale fenomeno è connotato principalmente dal reato di peculato e di indebita percezione di erogazioni pubbliche, il cui peso assorbe, nel primo caso la metà delle denunce e nel secondo poco meno della metà.</w:t>
      </w:r>
    </w:p>
  </w:footnote>
  <w:footnote w:id="21">
    <w:p>
      <w:pPr>
        <w:pStyle w:val="FootnoteText"/>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Tale fenomeno è connotato prevalentemente dal reato di istigazione alla corruzione, il cui peso assorbe circa il 40% delle denunce. Tale fenomeno, pertanto, configura in larga parte l’aspetto passivo della corruzione, benché non manchino i casi di corruzione attiva.</w:t>
      </w:r>
    </w:p>
  </w:footnote>
  <w:footnote w:id="22">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Tale fenomeno è connotato per circa il 90% dai reati riferiti alla custodia di beni sottoposti a sequestro.</w:t>
      </w:r>
    </w:p>
  </w:footnote>
  <w:footnote w:id="23">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Va detto che oltre ai corrotti altri soggetti ricorrono alla pratica del riciclaggio, come ad esempio gli evasori fiscali o i gruppi della criminalità organizzata, i quali, allo stesso modo dei corrotti, tendono a bonificare i capitali accumulati illecitamente mediante dei professionisti disposti a offrire loro servizi e sofisticate operazioni. Il riciclaggio dei capitali illeciti avviene infatti generalmente in più fasi e una molteplicità di canali che si vanno affinando e moltiplicando man mano che aumentano gli strumenti per contrastarlo: dalla immissione dei capitali nel circuito finanziario attraverso banche, società finanziarie, uffici di cambio, centri off-shore e altri intermediari, alla loro trasformazione in oro, preziosi, oggetti di valore, assegni derivanti da false vincite al gioco, ecc., fino all’investimento in attività lecite a ripulitura avvenuta.</w:t>
      </w:r>
    </w:p>
  </w:footnote>
  <w:footnote w:id="24">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L’UIF è istituita presso la Banca d’Italia col d.lgs. n. 231 del 2007, che è la cornice legislativa dell’antiriciclaggio in Italia.</w:t>
      </w:r>
    </w:p>
  </w:footnote>
  <w:footnote w:id="25">
    <w:p>
      <w:pPr>
        <w:pStyle w:val="FootnoteText"/>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Diverso è invece il caso di altre forme di criminalità, come ad esempio la criminalità predatoria, i cui tassi di delittuosità dell’Emilia-Romagna in genere superano decisamente quelli nazionali.</w:t>
      </w:r>
    </w:p>
  </w:footnote>
  <w:footnote w:id="26">
    <w:p>
      <w:pPr>
        <w:pStyle w:val="FootnoteText"/>
        <w:jc w:val="both"/>
        <w:rPr>
          <w:rFonts w:ascii="Times New Roman" w:hAnsi="Times New Roman" w:cs="Times New Roman"/>
          <w:sz w:val="18"/>
          <w:szCs w:val="18"/>
        </w:rPr>
      </w:pPr>
      <w:r>
        <w:rPr>
          <w:rStyle w:val="Caratterinotaapidipagina"/>
        </w:rPr>
        <w:footnoteRef/>
      </w:r>
      <w:r>
        <w:rPr>
          <w:rFonts w:cs="Times New Roman" w:ascii="Times New Roman" w:hAnsi="Times New Roman"/>
          <w:sz w:val="18"/>
          <w:szCs w:val="18"/>
        </w:rPr>
        <w:t>Occorre precisare che l’Indagine sulla sicurezza dei cittadini (c.d. indagine di vittimizzazione) l’Istat la conduce con cadenza quasi quinquennale dal 1998, ma solo nel 2016 ha inserito per la prima volta un modulo sulla corruzione nei termini specificati nel testo e che ha ripreso e in parte modificato nell’indagine del 2022.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decimal"/>
      <w:lvlText w:val="%1.%2"/>
      <w:lvlJc w:val="left"/>
      <w:pPr>
        <w:tabs>
          <w:tab w:val="num" w:pos="0"/>
        </w:tabs>
        <w:ind w:left="760" w:hanging="40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440"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160" w:hanging="1800"/>
      </w:pPr>
      <w:rPr/>
    </w:lvl>
  </w:abstractNum>
  <w:abstractNum w:abstractNumId="3">
    <w:lvl w:ilvl="0">
      <w:start w:val="3"/>
      <w:numFmt w:val="bullet"/>
      <w:lvlText w:val="-"/>
      <w:lvlJc w:val="left"/>
      <w:pPr>
        <w:tabs>
          <w:tab w:val="num" w:pos="0"/>
        </w:tabs>
        <w:ind w:left="720" w:hanging="360"/>
      </w:pPr>
      <w:rPr>
        <w:rFonts w:ascii="Arial" w:hAnsi="Arial" w:cs="Aria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Arial" w:hAnsi="Arial" w:cs="Aria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720" w:hanging="360"/>
      </w:pPr>
      <w:rPr>
        <w:rFonts w:ascii="Symbol" w:hAnsi="Symbol" w:cs="Symbol" w:hint="default"/>
        <w:sz w:val="22"/>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8">
    <w:lvl w:ilvl="0">
      <w:start w:val="1"/>
      <w:numFmt w:val="bullet"/>
      <w:lvlText w:val=""/>
      <w:lvlJc w:val="left"/>
      <w:pPr>
        <w:tabs>
          <w:tab w:val="num" w:pos="0"/>
        </w:tabs>
        <w:ind w:left="360" w:hanging="360"/>
      </w:pPr>
      <w:rPr>
        <w:rFonts w:ascii="Symbol" w:hAnsi="Symbol" w:cs="Symbol" w:hint="default"/>
        <w:sz w:val="22"/>
        <w:szCs w:val="24"/>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9">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080"/>
        </w:tabs>
        <w:ind w:left="1080" w:hanging="360"/>
      </w:pPr>
      <w:rPr>
        <w:rFonts w:ascii="OpenSymbol" w:hAnsi="OpenSymbol" w:cs="OpenSymbol" w:hint="default"/>
        <w:sz w:val="22"/>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1440" w:hanging="360"/>
      </w:pPr>
      <w:rPr>
        <w:rFonts w:ascii="Symbol" w:hAnsi="Symbol" w:cs="Symbol" w:hint="default"/>
        <w:sz w:val="22"/>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5">
    <w:lvl w:ilvl="0">
      <w:start w:val="1"/>
      <w:numFmt w:val="decimal"/>
      <w:lvlText w:val="%1"/>
      <w:lvlJc w:val="left"/>
      <w:pPr>
        <w:tabs>
          <w:tab w:val="num" w:pos="0"/>
        </w:tabs>
        <w:ind w:left="720" w:hanging="72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1440" w:hanging="360"/>
      </w:pPr>
      <w:rPr>
        <w:rFonts w:ascii="Symbol" w:hAnsi="Symbol" w:cs="Symbol" w:hint="default"/>
        <w:sz w:val="22"/>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8">
    <w:lvl w:ilvl="0">
      <w:start w:val="1"/>
      <w:numFmt w:val="bullet"/>
      <w:lvlText w:val=""/>
      <w:lvlJc w:val="left"/>
      <w:pPr>
        <w:tabs>
          <w:tab w:val="num" w:pos="0"/>
        </w:tabs>
        <w:ind w:left="1440" w:hanging="360"/>
      </w:pPr>
      <w:rPr>
        <w:rFonts w:ascii="Symbol" w:hAnsi="Symbol" w:cs="Symbol" w:hint="default"/>
        <w:sz w:val="22"/>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3"/>
      <w:numFmt w:val="decimal"/>
      <w:lvlText w:val="%1"/>
      <w:lvlJc w:val="left"/>
      <w:pPr>
        <w:tabs>
          <w:tab w:val="num" w:pos="0"/>
        </w:tabs>
        <w:ind w:left="360" w:hanging="360"/>
      </w:pPr>
      <w:rPr/>
    </w:lvl>
    <w:lvl w:ilvl="1">
      <w:start w:val="2"/>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1">
    <w:lvl w:ilvl="0">
      <w:start w:val="1"/>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3">
    <w:lvl w:ilvl="0">
      <w:start w:val="4"/>
      <w:numFmt w:val="bullet"/>
      <w:lvlText w:val="-"/>
      <w:lvlJc w:val="left"/>
      <w:pPr>
        <w:tabs>
          <w:tab w:val="num" w:pos="720"/>
        </w:tabs>
        <w:ind w:left="720" w:hanging="360"/>
      </w:pPr>
      <w:rPr>
        <w:rFonts w:ascii="Times New Roman" w:hAnsi="Times New Roman" w:cs="Times New Roman" w:hint="default"/>
        <w:sz w:val="22"/>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bullet"/>
      <w:lvlText w:val=""/>
      <w:lvlJc w:val="left"/>
      <w:pPr>
        <w:tabs>
          <w:tab w:val="num" w:pos="0"/>
        </w:tabs>
        <w:ind w:left="1069" w:hanging="360"/>
      </w:pPr>
      <w:rPr>
        <w:rFonts w:ascii="Wingdings" w:hAnsi="Wingdings" w:cs="Wingdings" w:hint="default"/>
        <w:sz w:val="22"/>
        <w:szCs w:val="24"/>
      </w:rPr>
    </w:lvl>
    <w:lvl w:ilvl="1">
      <w:start w:val="1"/>
      <w:numFmt w:val="bullet"/>
      <w:lvlText w:val=""/>
      <w:lvlJc w:val="left"/>
      <w:pPr>
        <w:tabs>
          <w:tab w:val="num" w:pos="0"/>
        </w:tabs>
        <w:ind w:left="1429" w:hanging="360"/>
      </w:pPr>
      <w:rPr>
        <w:rFonts w:ascii="Wingdings" w:hAnsi="Wingdings" w:cs="Wingdings" w:hint="default"/>
        <w:sz w:val="24"/>
        <w:szCs w:val="24"/>
      </w:rPr>
    </w:lvl>
    <w:lvl w:ilvl="2">
      <w:start w:val="1"/>
      <w:numFmt w:val="bullet"/>
      <w:lvlText w:val=""/>
      <w:lvlJc w:val="left"/>
      <w:pPr>
        <w:tabs>
          <w:tab w:val="num" w:pos="0"/>
        </w:tabs>
        <w:ind w:left="1789" w:hanging="360"/>
      </w:pPr>
      <w:rPr>
        <w:rFonts w:ascii="Wingdings" w:hAnsi="Wingdings" w:cs="Wingdings" w:hint="default"/>
        <w:sz w:val="24"/>
        <w:szCs w:val="24"/>
      </w:rPr>
    </w:lvl>
    <w:lvl w:ilvl="3">
      <w:start w:val="1"/>
      <w:numFmt w:val="bullet"/>
      <w:lvlText w:val=""/>
      <w:lvlJc w:val="left"/>
      <w:pPr>
        <w:tabs>
          <w:tab w:val="num" w:pos="0"/>
        </w:tabs>
        <w:ind w:left="2149" w:hanging="360"/>
      </w:pPr>
      <w:rPr>
        <w:rFonts w:ascii="Symbol" w:hAnsi="Symbol" w:cs="Symbol" w:hint="default"/>
      </w:rPr>
    </w:lvl>
    <w:lvl w:ilvl="4">
      <w:start w:val="1"/>
      <w:numFmt w:val="bullet"/>
      <w:lvlText w:val=""/>
      <w:lvlJc w:val="left"/>
      <w:pPr>
        <w:tabs>
          <w:tab w:val="num" w:pos="0"/>
        </w:tabs>
        <w:ind w:left="2509" w:hanging="360"/>
      </w:pPr>
      <w:rPr>
        <w:rFonts w:ascii="Symbol" w:hAnsi="Symbol" w:cs="Symbol" w:hint="default"/>
      </w:rPr>
    </w:lvl>
    <w:lvl w:ilvl="5">
      <w:start w:val="1"/>
      <w:numFmt w:val="bullet"/>
      <w:lvlText w:val=""/>
      <w:lvlJc w:val="left"/>
      <w:pPr>
        <w:tabs>
          <w:tab w:val="num" w:pos="0"/>
        </w:tabs>
        <w:ind w:left="2869" w:hanging="360"/>
      </w:pPr>
      <w:rPr>
        <w:rFonts w:ascii="Wingdings" w:hAnsi="Wingdings" w:cs="Wingdings" w:hint="default"/>
        <w:sz w:val="24"/>
        <w:szCs w:val="24"/>
      </w:rPr>
    </w:lvl>
    <w:lvl w:ilvl="6">
      <w:start w:val="1"/>
      <w:numFmt w:val="bullet"/>
      <w:lvlText w:val=""/>
      <w:lvlJc w:val="left"/>
      <w:pPr>
        <w:tabs>
          <w:tab w:val="num" w:pos="0"/>
        </w:tabs>
        <w:ind w:left="3229" w:hanging="360"/>
      </w:pPr>
      <w:rPr>
        <w:rFonts w:ascii="Wingdings" w:hAnsi="Wingdings" w:cs="Wingdings" w:hint="default"/>
        <w:sz w:val="24"/>
        <w:szCs w:val="24"/>
      </w:rPr>
    </w:lvl>
    <w:lvl w:ilvl="7">
      <w:start w:val="1"/>
      <w:numFmt w:val="bullet"/>
      <w:lvlText w:val=""/>
      <w:lvlJc w:val="left"/>
      <w:pPr>
        <w:tabs>
          <w:tab w:val="num" w:pos="0"/>
        </w:tabs>
        <w:ind w:left="3589" w:hanging="360"/>
      </w:pPr>
      <w:rPr>
        <w:rFonts w:ascii="Symbol" w:hAnsi="Symbol" w:cs="Symbol" w:hint="default"/>
      </w:rPr>
    </w:lvl>
    <w:lvl w:ilvl="8">
      <w:start w:val="1"/>
      <w:numFmt w:val="bullet"/>
      <w:lvlText w:val=""/>
      <w:lvlJc w:val="left"/>
      <w:pPr>
        <w:tabs>
          <w:tab w:val="num" w:pos="0"/>
        </w:tabs>
        <w:ind w:left="3949" w:hanging="360"/>
      </w:pPr>
      <w:rPr>
        <w:rFonts w:ascii="Symbol" w:hAnsi="Symbol" w:cs="Symbol" w:hint="default"/>
      </w:rPr>
    </w:lvl>
  </w:abstractNum>
  <w:abstractNum w:abstractNumId="25">
    <w:lvl w:ilvl="0">
      <w:start w:val="1"/>
      <w:numFmt w:val="bullet"/>
      <w:lvlText w:val=""/>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sz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lvl w:ilvl="0">
      <w:start w:val="1"/>
      <w:numFmt w:val="bullet"/>
      <w:lvlText w:val=""/>
      <w:lvlJc w:val="left"/>
      <w:pPr>
        <w:tabs>
          <w:tab w:val="num" w:pos="0"/>
        </w:tabs>
        <w:ind w:left="720" w:hanging="360"/>
      </w:pPr>
      <w:rPr>
        <w:rFonts w:ascii="Wingdings" w:hAnsi="Wingdings" w:cs="Wingdings" w:hint="default"/>
        <w:sz w:val="22"/>
        <w:szCs w:val="24"/>
        <w:w w:val="100"/>
        <w:lang w:val="it-I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w:zoom w:percent="100"/>
  <w:defaultTabStop w:val="720"/>
  <w:autoHyphenation w:val="true"/>
  <w:hyphenationZone w:val="283"/>
  <w:footnotePr>
    <w:numFmt w:val="decimal"/>
    <w:footnote w:id="0"/>
    <w:footnote w:id="1"/>
  </w:footnotePr>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qFormat="1"/>
    <w:lsdException w:name="List" w:uiPriority="0"/>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Body Text 2" w:uiPriority="0" w:qFormat="1"/>
    <w:lsdException w:name="Body Text 3" w:uiPriority="0" w:qFormat="1"/>
    <w:lsdException w:name="Body Text Indent 2" w:qFormat="1"/>
    <w:lsdException w:name="Hyperlink" w:uiPriority="0"/>
    <w:lsdException w:name="Strong" w:uiPriority="22" w:semiHidden="0" w:unhideWhenUsed="0" w:qFormat="1"/>
    <w:lsdException w:name="Emphasis" w:uiPriority="20" w:semiHidden="0" w:unhideWhenUsed="0" w:qFormat="1"/>
    <w:lsdException w:name="Normal (Web)" w:qFormat="1"/>
    <w:lsdException w:name="HTML Preformatted" w:uiPriority="0"/>
    <w:lsdException w:name="annotation subject" w:uiPriority="0"/>
    <w:lsdException w:name="Balloon Text" w:uiPriority="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61c7e"/>
    <w:pPr>
      <w:widowControl/>
      <w:suppressAutoHyphens w:val="true"/>
      <w:bidi w:val="0"/>
      <w:spacing w:before="0" w:after="0"/>
      <w:jc w:val="left"/>
    </w:pPr>
    <w:rPr>
      <w:rFonts w:ascii="Calibri" w:hAnsi="Calibri" w:eastAsia="Calibri" w:cs=""/>
      <w:color w:val="00000A"/>
      <w:kern w:val="0"/>
      <w:sz w:val="24"/>
      <w:szCs w:val="24"/>
      <w:lang w:val="it-IT" w:eastAsia="en-US" w:bidi="ar-SA"/>
    </w:rPr>
  </w:style>
  <w:style w:type="paragraph" w:styleId="Heading1" w:customStyle="1">
    <w:name w:val="Heading 1"/>
    <w:basedOn w:val="Normal"/>
    <w:next w:val="Heading2"/>
    <w:link w:val="Titolo1Carattere1"/>
    <w:uiPriority w:val="9"/>
    <w:qFormat/>
    <w:rsid w:val="007500dd"/>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customStyle="1">
    <w:name w:val="Heading 2"/>
    <w:basedOn w:val="Normal"/>
    <w:next w:val="Normal"/>
    <w:link w:val="Titolo2Carattere1"/>
    <w:uiPriority w:val="9"/>
    <w:unhideWhenUsed/>
    <w:qFormat/>
    <w:rsid w:val="007500dd"/>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customStyle="1">
    <w:name w:val="Heading 3"/>
    <w:basedOn w:val="Normal"/>
    <w:next w:val="Normal"/>
    <w:link w:val="Titolo3Carattere1"/>
    <w:unhideWhenUsed/>
    <w:qFormat/>
    <w:rsid w:val="007500dd"/>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rPr>
  </w:style>
  <w:style w:type="paragraph" w:styleId="Heading4" w:customStyle="1">
    <w:name w:val="Heading 4"/>
    <w:basedOn w:val="Normal"/>
    <w:next w:val="Normal"/>
    <w:link w:val="Titolo4Carattere1"/>
    <w:qFormat/>
    <w:rsid w:val="007500dd"/>
    <w:pPr>
      <w:keepNext w:val="true"/>
      <w:outlineLvl w:val="3"/>
    </w:pPr>
    <w:rPr>
      <w:rFonts w:ascii="Arial" w:hAnsi="Arial" w:eastAsia="Times New Roman" w:cs="Times New Roman"/>
      <w:b/>
      <w:color w:val="000000"/>
      <w:sz w:val="28"/>
      <w:szCs w:val="20"/>
      <w:u w:val="single"/>
      <w:lang w:eastAsia="it-IT"/>
    </w:rPr>
  </w:style>
  <w:style w:type="paragraph" w:styleId="Heading5" w:customStyle="1">
    <w:name w:val="Heading 5"/>
    <w:basedOn w:val="Normal"/>
    <w:next w:val="Normal"/>
    <w:link w:val="Titolo5Carattere1"/>
    <w:qFormat/>
    <w:rsid w:val="007500dd"/>
    <w:pPr>
      <w:keepNext w:val="true"/>
      <w:pBdr>
        <w:top w:val="single" w:sz="4" w:space="1" w:color="000001"/>
        <w:left w:val="single" w:sz="4" w:space="1" w:color="000001"/>
        <w:bottom w:val="single" w:sz="4" w:space="1" w:color="000001"/>
        <w:right w:val="single" w:sz="4" w:space="1" w:color="000001"/>
      </w:pBdr>
      <w:tabs>
        <w:tab w:val="clear" w:pos="720"/>
        <w:tab w:val="center" w:pos="709" w:leader="none"/>
        <w:tab w:val="center" w:pos="2694" w:leader="none"/>
      </w:tabs>
      <w:ind w:firstLine="60"/>
      <w:jc w:val="both"/>
      <w:outlineLvl w:val="4"/>
    </w:pPr>
    <w:rPr>
      <w:rFonts w:ascii="Arial" w:hAnsi="Arial" w:eastAsia="Times New Roman" w:cs="Times New Roman"/>
      <w:b/>
      <w:color w:val="000000"/>
      <w:sz w:val="22"/>
      <w:szCs w:val="20"/>
      <w:lang w:eastAsia="it-IT"/>
    </w:rPr>
  </w:style>
  <w:style w:type="paragraph" w:styleId="Heading6" w:customStyle="1">
    <w:name w:val="Heading 6"/>
    <w:basedOn w:val="Normal"/>
    <w:next w:val="Normal"/>
    <w:link w:val="Titolo6Carattere1"/>
    <w:qFormat/>
    <w:rsid w:val="007500dd"/>
    <w:pPr>
      <w:keepNext w:val="true"/>
      <w:outlineLvl w:val="5"/>
    </w:pPr>
    <w:rPr>
      <w:rFonts w:ascii="Arial" w:hAnsi="Arial" w:eastAsia="Times New Roman" w:cs="Times New Roman"/>
      <w:b/>
      <w:color w:val="000000"/>
      <w:sz w:val="36"/>
      <w:szCs w:val="20"/>
      <w:u w:val="single"/>
      <w:lang w:eastAsia="it-IT"/>
    </w:rPr>
  </w:style>
  <w:style w:type="paragraph" w:styleId="Heading7" w:customStyle="1">
    <w:name w:val="Heading 7"/>
    <w:basedOn w:val="Normal"/>
    <w:next w:val="Normal"/>
    <w:link w:val="Titolo7Carattere1"/>
    <w:qFormat/>
    <w:rsid w:val="007500dd"/>
    <w:pPr>
      <w:keepNext w:val="true"/>
      <w:pBdr>
        <w:top w:val="single" w:sz="4" w:space="1" w:color="000001"/>
        <w:left w:val="single" w:sz="4" w:space="4" w:color="000001"/>
        <w:bottom w:val="single" w:sz="4" w:space="1" w:color="000001"/>
        <w:right w:val="single" w:sz="4" w:space="4" w:color="000001"/>
      </w:pBdr>
      <w:tabs>
        <w:tab w:val="clear" w:pos="720"/>
        <w:tab w:val="center" w:pos="709" w:leader="none"/>
        <w:tab w:val="center" w:pos="2694" w:leader="none"/>
      </w:tabs>
      <w:jc w:val="both"/>
      <w:outlineLvl w:val="6"/>
    </w:pPr>
    <w:rPr>
      <w:rFonts w:ascii="Arial" w:hAnsi="Arial" w:eastAsia="Times New Roman" w:cs="Times New Roman"/>
      <w:b/>
      <w:color w:val="000000"/>
      <w:sz w:val="22"/>
      <w:szCs w:val="20"/>
      <w:lang w:eastAsia="it-IT"/>
    </w:rPr>
  </w:style>
  <w:style w:type="paragraph" w:styleId="Heading8" w:customStyle="1">
    <w:name w:val="Heading 8"/>
    <w:basedOn w:val="Normal"/>
    <w:next w:val="Normal"/>
    <w:link w:val="Titolo8Carattere1"/>
    <w:qFormat/>
    <w:rsid w:val="007500dd"/>
    <w:pPr>
      <w:keepNext w:val="true"/>
      <w:outlineLvl w:val="7"/>
    </w:pPr>
    <w:rPr>
      <w:rFonts w:ascii="Arial" w:hAnsi="Arial" w:eastAsia="Times New Roman" w:cs="Times New Roman"/>
      <w:b/>
      <w:color w:val="000000"/>
      <w:sz w:val="22"/>
      <w:szCs w:val="20"/>
      <w:u w:val="single"/>
      <w:lang w:eastAsia="it-IT"/>
    </w:rPr>
  </w:style>
  <w:style w:type="paragraph" w:styleId="Heading9" w:customStyle="1">
    <w:name w:val="Heading 9"/>
    <w:basedOn w:val="Normal"/>
    <w:next w:val="Normal"/>
    <w:link w:val="Titolo9Carattere1"/>
    <w:qFormat/>
    <w:rsid w:val="007500dd"/>
    <w:pPr>
      <w:keepNext w:val="true"/>
      <w:jc w:val="both"/>
      <w:outlineLvl w:val="8"/>
    </w:pPr>
    <w:rPr>
      <w:rFonts w:ascii="Arial" w:hAnsi="Arial" w:eastAsia="Times New Roman" w:cs="Times New Roman"/>
      <w:b/>
      <w:color w:val="000000"/>
      <w:sz w:val="22"/>
      <w:szCs w:val="20"/>
      <w:u w:val="single"/>
      <w:lang w:eastAsia="it-IT"/>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1"/>
    <w:uiPriority w:val="9"/>
    <w:qFormat/>
    <w:rsid w:val="00140291"/>
    <w:rPr>
      <w:rFonts w:ascii="Calibri Light" w:hAnsi="Calibri Light" w:eastAsia="" w:cs="" w:asciiTheme="majorHAnsi" w:cstheme="majorBidi" w:eastAsiaTheme="majorEastAsia" w:hAnsiTheme="majorHAnsi"/>
      <w:color w:themeColor="accent1" w:themeShade="bf" w:val="2F5496"/>
      <w:sz w:val="32"/>
      <w:szCs w:val="32"/>
    </w:rPr>
  </w:style>
  <w:style w:type="character" w:styleId="Hyperlink">
    <w:name w:val="Hyperlink"/>
    <w:basedOn w:val="DefaultParagraphFont"/>
    <w:unhideWhenUsed/>
    <w:rsid w:val="002c0226"/>
    <w:rPr>
      <w:color w:themeColor="hyperlink" w:val="0563C1"/>
      <w:u w:val="single"/>
    </w:rPr>
  </w:style>
  <w:style w:type="character" w:styleId="Titolo2Carattere" w:customStyle="1">
    <w:name w:val="Titolo 2 Carattere"/>
    <w:basedOn w:val="DefaultParagraphFont"/>
    <w:link w:val="Titolo21"/>
    <w:uiPriority w:val="9"/>
    <w:qFormat/>
    <w:rsid w:val="00377978"/>
    <w:rPr>
      <w:rFonts w:ascii="Calibri Light" w:hAnsi="Calibri Light" w:eastAsia="" w:cs="" w:asciiTheme="majorHAnsi" w:cstheme="majorBidi" w:eastAsiaTheme="majorEastAsia" w:hAnsiTheme="majorHAnsi"/>
      <w:color w:themeColor="accent1" w:themeShade="bf" w:val="2F5496"/>
      <w:sz w:val="26"/>
      <w:szCs w:val="26"/>
    </w:rPr>
  </w:style>
  <w:style w:type="character" w:styleId="IntestazioneCarattere" w:customStyle="1">
    <w:name w:val="Intestazione Carattere"/>
    <w:basedOn w:val="DefaultParagraphFont"/>
    <w:link w:val="Intestazione1"/>
    <w:qFormat/>
    <w:rsid w:val="00d8118d"/>
    <w:rPr/>
  </w:style>
  <w:style w:type="character" w:styleId="PidipaginaCarattere" w:customStyle="1">
    <w:name w:val="Piè di pagina Carattere"/>
    <w:basedOn w:val="DefaultParagraphFont"/>
    <w:link w:val="Pidipagina1"/>
    <w:uiPriority w:val="99"/>
    <w:qFormat/>
    <w:rsid w:val="00d8118d"/>
    <w:rPr/>
  </w:style>
  <w:style w:type="character" w:styleId="Pagenumber">
    <w:name w:val="page number"/>
    <w:basedOn w:val="DefaultParagraphFont"/>
    <w:unhideWhenUsed/>
    <w:qFormat/>
    <w:rsid w:val="00d8118d"/>
    <w:rPr/>
  </w:style>
  <w:style w:type="character" w:styleId="Apple-converted-space" w:customStyle="1">
    <w:name w:val="apple-converted-space"/>
    <w:basedOn w:val="DefaultParagraphFont"/>
    <w:qFormat/>
    <w:rsid w:val="00322cc7"/>
    <w:rPr/>
  </w:style>
  <w:style w:type="character" w:styleId="Enfasigrassetto1" w:customStyle="1">
    <w:name w:val="Enfasi (grassetto)1"/>
    <w:qFormat/>
    <w:rsid w:val="007500dd"/>
    <w:rPr>
      <w:b/>
      <w:bCs/>
    </w:rPr>
  </w:style>
  <w:style w:type="character" w:styleId="Titolo3Carattere" w:customStyle="1">
    <w:name w:val="Titolo 3 Carattere"/>
    <w:basedOn w:val="DefaultParagraphFont"/>
    <w:link w:val="Titolo31"/>
    <w:uiPriority w:val="9"/>
    <w:qFormat/>
    <w:rsid w:val="004c7837"/>
    <w:rPr>
      <w:rFonts w:ascii="Calibri Light" w:hAnsi="Calibri Light" w:eastAsia="" w:cs="" w:asciiTheme="majorHAnsi" w:cstheme="majorBidi" w:eastAsiaTheme="majorEastAsia" w:hAnsiTheme="majorHAnsi"/>
      <w:color w:themeColor="accent1" w:themeShade="7f" w:val="1F3763"/>
    </w:rPr>
  </w:style>
  <w:style w:type="character" w:styleId="Titolo4Carattere" w:customStyle="1">
    <w:name w:val="Titolo 4 Carattere"/>
    <w:basedOn w:val="DefaultParagraphFont"/>
    <w:link w:val="Titolo41"/>
    <w:uiPriority w:val="9"/>
    <w:qFormat/>
    <w:rsid w:val="0002254b"/>
    <w:rPr>
      <w:rFonts w:ascii="Arial" w:hAnsi="Arial" w:eastAsia="Times New Roman" w:cs="Times New Roman"/>
      <w:b/>
      <w:color w:val="000000"/>
      <w:sz w:val="28"/>
      <w:szCs w:val="20"/>
      <w:u w:val="single"/>
      <w:lang w:eastAsia="it-IT"/>
    </w:rPr>
  </w:style>
  <w:style w:type="character" w:styleId="Titolo5Carattere" w:customStyle="1">
    <w:name w:val="Titolo 5 Carattere"/>
    <w:basedOn w:val="DefaultParagraphFont"/>
    <w:link w:val="Titolo51"/>
    <w:uiPriority w:val="9"/>
    <w:qFormat/>
    <w:rsid w:val="0002254b"/>
    <w:rPr>
      <w:rFonts w:ascii="Arial" w:hAnsi="Arial" w:eastAsia="Times New Roman" w:cs="Times New Roman"/>
      <w:b/>
      <w:color w:val="000000"/>
      <w:sz w:val="22"/>
      <w:szCs w:val="20"/>
      <w:lang w:eastAsia="it-IT"/>
    </w:rPr>
  </w:style>
  <w:style w:type="character" w:styleId="Titolo6Carattere" w:customStyle="1">
    <w:name w:val="Titolo 6 Carattere"/>
    <w:basedOn w:val="DefaultParagraphFont"/>
    <w:link w:val="Titolo61"/>
    <w:uiPriority w:val="9"/>
    <w:qFormat/>
    <w:rsid w:val="0002254b"/>
    <w:rPr>
      <w:rFonts w:ascii="Arial" w:hAnsi="Arial" w:eastAsia="Times New Roman" w:cs="Times New Roman"/>
      <w:b/>
      <w:color w:val="000000"/>
      <w:sz w:val="36"/>
      <w:szCs w:val="20"/>
      <w:u w:val="single"/>
      <w:lang w:eastAsia="it-IT"/>
    </w:rPr>
  </w:style>
  <w:style w:type="character" w:styleId="Titolo7Carattere" w:customStyle="1">
    <w:name w:val="Titolo 7 Carattere"/>
    <w:basedOn w:val="DefaultParagraphFont"/>
    <w:link w:val="Titolo71"/>
    <w:uiPriority w:val="9"/>
    <w:qFormat/>
    <w:rsid w:val="0002254b"/>
    <w:rPr>
      <w:rFonts w:ascii="Arial" w:hAnsi="Arial" w:eastAsia="Times New Roman" w:cs="Times New Roman"/>
      <w:b/>
      <w:color w:val="000000"/>
      <w:sz w:val="22"/>
      <w:szCs w:val="20"/>
      <w:lang w:eastAsia="it-IT"/>
    </w:rPr>
  </w:style>
  <w:style w:type="character" w:styleId="Titolo8Carattere" w:customStyle="1">
    <w:name w:val="Titolo 8 Carattere"/>
    <w:basedOn w:val="DefaultParagraphFont"/>
    <w:link w:val="Titolo81"/>
    <w:uiPriority w:val="9"/>
    <w:qFormat/>
    <w:rsid w:val="0002254b"/>
    <w:rPr>
      <w:rFonts w:ascii="Arial" w:hAnsi="Arial" w:eastAsia="Times New Roman" w:cs="Times New Roman"/>
      <w:b/>
      <w:color w:val="000000"/>
      <w:sz w:val="22"/>
      <w:szCs w:val="20"/>
      <w:u w:val="single"/>
      <w:lang w:eastAsia="it-IT"/>
    </w:rPr>
  </w:style>
  <w:style w:type="character" w:styleId="Titolo9Carattere" w:customStyle="1">
    <w:name w:val="Titolo 9 Carattere"/>
    <w:basedOn w:val="DefaultParagraphFont"/>
    <w:link w:val="Titolo91"/>
    <w:uiPriority w:val="9"/>
    <w:qFormat/>
    <w:rsid w:val="0002254b"/>
    <w:rPr>
      <w:rFonts w:ascii="Arial" w:hAnsi="Arial" w:eastAsia="Times New Roman" w:cs="Times New Roman"/>
      <w:b/>
      <w:color w:val="000000"/>
      <w:sz w:val="22"/>
      <w:szCs w:val="20"/>
      <w:u w:val="single"/>
      <w:lang w:eastAsia="it-IT"/>
    </w:rPr>
  </w:style>
  <w:style w:type="character" w:styleId="CorpodeltestoCarattere" w:customStyle="1">
    <w:name w:val="Corpo del testo Carattere"/>
    <w:basedOn w:val="DefaultParagraphFont"/>
    <w:uiPriority w:val="99"/>
    <w:qFormat/>
    <w:rsid w:val="0002254b"/>
    <w:rPr>
      <w:rFonts w:ascii="Arial" w:hAnsi="Arial" w:eastAsia="Times New Roman" w:cs="Times New Roman"/>
      <w:color w:val="000000"/>
      <w:sz w:val="22"/>
      <w:szCs w:val="20"/>
      <w:lang w:eastAsia="it-IT"/>
    </w:rPr>
  </w:style>
  <w:style w:type="character" w:styleId="Corpodeltesto2Carattere" w:customStyle="1">
    <w:name w:val="Corpo del testo 2 Carattere"/>
    <w:basedOn w:val="DefaultParagraphFont"/>
    <w:link w:val="BodyText2"/>
    <w:qFormat/>
    <w:rsid w:val="0002254b"/>
    <w:rPr>
      <w:rFonts w:ascii="Arial" w:hAnsi="Arial" w:eastAsia="Times New Roman" w:cs="Times New Roman"/>
      <w:b/>
      <w:color w:val="000000"/>
      <w:sz w:val="22"/>
      <w:szCs w:val="20"/>
      <w:lang w:eastAsia="it-IT"/>
    </w:rPr>
  </w:style>
  <w:style w:type="character" w:styleId="TitoloCarattere" w:customStyle="1">
    <w:name w:val="Titolo Carattere"/>
    <w:basedOn w:val="DefaultParagraphFont"/>
    <w:uiPriority w:val="10"/>
    <w:qFormat/>
    <w:rsid w:val="0002254b"/>
    <w:rPr>
      <w:rFonts w:ascii="Arial" w:hAnsi="Arial" w:eastAsia="Times New Roman" w:cs="Times New Roman"/>
      <w:b/>
      <w:i/>
      <w:color w:val="000000"/>
      <w:sz w:val="35"/>
      <w:szCs w:val="20"/>
      <w:lang w:eastAsia="it-IT"/>
    </w:rPr>
  </w:style>
  <w:style w:type="character" w:styleId="SottotitoloCarattere" w:customStyle="1">
    <w:name w:val="Sottotitolo Carattere"/>
    <w:basedOn w:val="DefaultParagraphFont"/>
    <w:uiPriority w:val="11"/>
    <w:qFormat/>
    <w:rsid w:val="0002254b"/>
    <w:rPr>
      <w:rFonts w:ascii="Arial" w:hAnsi="Arial" w:eastAsia="Times New Roman" w:cs="Times New Roman"/>
      <w:b/>
      <w:color w:val="000000"/>
      <w:sz w:val="22"/>
      <w:szCs w:val="20"/>
      <w:u w:val="single"/>
      <w:lang w:eastAsia="it-IT"/>
    </w:rPr>
  </w:style>
  <w:style w:type="character" w:styleId="Corpodeltesto3Carattere" w:customStyle="1">
    <w:name w:val="Corpo del testo 3 Carattere"/>
    <w:basedOn w:val="DefaultParagraphFont"/>
    <w:link w:val="BodyText3"/>
    <w:qFormat/>
    <w:rsid w:val="0002254b"/>
    <w:rPr>
      <w:rFonts w:ascii="Arial" w:hAnsi="Arial" w:eastAsia="Times New Roman" w:cs="Times New Roman"/>
      <w:color w:val="000000"/>
      <w:sz w:val="21"/>
      <w:szCs w:val="20"/>
      <w:lang w:eastAsia="it-IT"/>
    </w:rPr>
  </w:style>
  <w:style w:type="character" w:styleId="TestofumettoCarattere" w:customStyle="1">
    <w:name w:val="Testo fumetto Carattere"/>
    <w:basedOn w:val="DefaultParagraphFont"/>
    <w:link w:val="BalloonText"/>
    <w:qFormat/>
    <w:rsid w:val="0002254b"/>
    <w:rPr>
      <w:rFonts w:ascii="Tahoma" w:hAnsi="Tahoma" w:eastAsia="Times New Roman" w:cs="Tahoma"/>
      <w:color w:val="000000"/>
      <w:sz w:val="16"/>
      <w:szCs w:val="16"/>
      <w:lang w:eastAsia="it-IT"/>
    </w:rPr>
  </w:style>
  <w:style w:type="character" w:styleId="Collegamentovisitato1" w:customStyle="1">
    <w:name w:val="Collegamento visitato1"/>
    <w:uiPriority w:val="99"/>
    <w:semiHidden/>
    <w:unhideWhenUsed/>
    <w:qFormat/>
    <w:rsid w:val="007500dd"/>
    <w:rPr>
      <w:color w:val="800080"/>
      <w:u w:val="single"/>
    </w:rPr>
  </w:style>
  <w:style w:type="character" w:styleId="Enfasicorsivo1" w:customStyle="1">
    <w:name w:val="Enfasi (corsivo)1"/>
    <w:uiPriority w:val="20"/>
    <w:qFormat/>
    <w:rsid w:val="007500dd"/>
    <w:rPr>
      <w:i/>
      <w:iCs/>
    </w:rPr>
  </w:style>
  <w:style w:type="character" w:styleId="CharacterStyle2" w:customStyle="1">
    <w:name w:val="Character Style 2"/>
    <w:uiPriority w:val="99"/>
    <w:qFormat/>
    <w:rsid w:val="0002254b"/>
    <w:rPr>
      <w:sz w:val="20"/>
    </w:rPr>
  </w:style>
  <w:style w:type="character" w:styleId="Rientrocorpodeltesto2Carattere" w:customStyle="1">
    <w:name w:val="Rientro corpo del testo 2 Carattere"/>
    <w:basedOn w:val="DefaultParagraphFont"/>
    <w:link w:val="BodyTextIndent2"/>
    <w:uiPriority w:val="99"/>
    <w:semiHidden/>
    <w:qFormat/>
    <w:rsid w:val="0002254b"/>
    <w:rPr>
      <w:rFonts w:ascii="Arial" w:hAnsi="Arial" w:eastAsia="Times New Roman" w:cs="Times New Roman"/>
      <w:color w:val="000000"/>
      <w:sz w:val="22"/>
      <w:lang w:eastAsia="it-IT"/>
    </w:rPr>
  </w:style>
  <w:style w:type="character" w:styleId="Caratterinotaapidipagina" w:customStyle="1">
    <w:name w:val="Caratteri nota a piè di pagina"/>
    <w:qFormat/>
    <w:rsid w:val="00c45549"/>
    <w:rPr>
      <w:vertAlign w:val="superscript"/>
    </w:rPr>
  </w:style>
  <w:style w:type="character" w:styleId="FootnoteReference">
    <w:name w:val="Footnote Reference"/>
    <w:rPr>
      <w:vertAlign w:val="superscript"/>
    </w:rPr>
  </w:style>
  <w:style w:type="character" w:styleId="FootnoteCharacters" w:customStyle="1">
    <w:name w:val="Footnote Characters"/>
    <w:basedOn w:val="DefaultParagraphFont"/>
    <w:unhideWhenUsed/>
    <w:qFormat/>
    <w:rsid w:val="007500dd"/>
    <w:rPr>
      <w:vertAlign w:val="superscript"/>
    </w:rPr>
  </w:style>
  <w:style w:type="character" w:styleId="Anchorantimarker" w:customStyle="1">
    <w:name w:val="anchor_anti_marker"/>
    <w:qFormat/>
    <w:rsid w:val="0002254b"/>
    <w:rPr/>
  </w:style>
  <w:style w:type="character" w:styleId="WW-Carpredefinitoparagrafo" w:customStyle="1">
    <w:name w:val="WW-Car. predefinito paragrafo"/>
    <w:qFormat/>
    <w:rsid w:val="005b22d0"/>
    <w:rPr/>
  </w:style>
  <w:style w:type="character" w:styleId="Saltoaindice" w:customStyle="1">
    <w:name w:val="Salto a indice"/>
    <w:qFormat/>
    <w:rsid w:val="00323ff4"/>
    <w:rPr/>
  </w:style>
  <w:style w:type="character" w:styleId="Caratteridinumerazione" w:customStyle="1">
    <w:name w:val="Caratteri di numerazione"/>
    <w:qFormat/>
    <w:rsid w:val="00323ff4"/>
    <w:rPr/>
  </w:style>
  <w:style w:type="character" w:styleId="Punti" w:customStyle="1">
    <w:name w:val="Punti"/>
    <w:qFormat/>
    <w:rsid w:val="00323ff4"/>
    <w:rPr>
      <w:rFonts w:ascii="OpenSymbol" w:hAnsi="OpenSymbol" w:eastAsia="OpenSymbol" w:cs="OpenSymbol"/>
    </w:rPr>
  </w:style>
  <w:style w:type="character" w:styleId="WW8Num2z0" w:customStyle="1">
    <w:name w:val="WW8Num2z0"/>
    <w:qFormat/>
    <w:rsid w:val="00323ff4"/>
    <w:rPr>
      <w:rFonts w:ascii="Wingdings" w:hAnsi="Wingdings" w:cs="Wingdings"/>
      <w:sz w:val="24"/>
      <w:szCs w:val="36"/>
    </w:rPr>
  </w:style>
  <w:style w:type="character" w:styleId="Caratterinotadichiusura" w:customStyle="1">
    <w:name w:val="Caratteri nota di chiusura"/>
    <w:qFormat/>
    <w:rsid w:val="00c45549"/>
    <w:rPr>
      <w:vertAlign w:val="superscript"/>
    </w:rPr>
  </w:style>
  <w:style w:type="character" w:styleId="EndnoteReference">
    <w:name w:val="Endnote Reference"/>
    <w:rPr>
      <w:vertAlign w:val="superscript"/>
    </w:rPr>
  </w:style>
  <w:style w:type="character" w:styleId="WW8Num19z0" w:customStyle="1">
    <w:name w:val="WW8Num19z0"/>
    <w:qFormat/>
    <w:rsid w:val="00323ff4"/>
    <w:rPr>
      <w:rFonts w:ascii="Times New Roman" w:hAnsi="Times New Roman" w:cs="Times New Roman"/>
      <w:sz w:val="24"/>
      <w:szCs w:val="24"/>
    </w:rPr>
  </w:style>
  <w:style w:type="character" w:styleId="WW8Num19z1" w:customStyle="1">
    <w:name w:val="WW8Num19z1"/>
    <w:qFormat/>
    <w:rsid w:val="00323ff4"/>
    <w:rPr/>
  </w:style>
  <w:style w:type="character" w:styleId="WW8Num19z2" w:customStyle="1">
    <w:name w:val="WW8Num19z2"/>
    <w:qFormat/>
    <w:rsid w:val="00323ff4"/>
    <w:rPr/>
  </w:style>
  <w:style w:type="character" w:styleId="WW8Num19z3" w:customStyle="1">
    <w:name w:val="WW8Num19z3"/>
    <w:qFormat/>
    <w:rsid w:val="00323ff4"/>
    <w:rPr/>
  </w:style>
  <w:style w:type="character" w:styleId="WW8Num19z4" w:customStyle="1">
    <w:name w:val="WW8Num19z4"/>
    <w:qFormat/>
    <w:rsid w:val="00323ff4"/>
    <w:rPr/>
  </w:style>
  <w:style w:type="character" w:styleId="WW8Num19z5" w:customStyle="1">
    <w:name w:val="WW8Num19z5"/>
    <w:qFormat/>
    <w:rsid w:val="00323ff4"/>
    <w:rPr/>
  </w:style>
  <w:style w:type="character" w:styleId="WW8Num19z6" w:customStyle="1">
    <w:name w:val="WW8Num19z6"/>
    <w:qFormat/>
    <w:rsid w:val="00323ff4"/>
    <w:rPr/>
  </w:style>
  <w:style w:type="character" w:styleId="WW8Num19z7" w:customStyle="1">
    <w:name w:val="WW8Num19z7"/>
    <w:qFormat/>
    <w:rsid w:val="00323ff4"/>
    <w:rPr/>
  </w:style>
  <w:style w:type="character" w:styleId="WW8Num19z8" w:customStyle="1">
    <w:name w:val="WW8Num19z8"/>
    <w:qFormat/>
    <w:rsid w:val="00323ff4"/>
    <w:rPr/>
  </w:style>
  <w:style w:type="character" w:styleId="WW8Num20z0" w:customStyle="1">
    <w:name w:val="WW8Num20z0"/>
    <w:qFormat/>
    <w:rsid w:val="00323ff4"/>
    <w:rPr>
      <w:rFonts w:ascii="Times New Roman" w:hAnsi="Times New Roman" w:cs="Times New Roman"/>
      <w:sz w:val="24"/>
      <w:szCs w:val="24"/>
    </w:rPr>
  </w:style>
  <w:style w:type="character" w:styleId="WW8Num20z1" w:customStyle="1">
    <w:name w:val="WW8Num20z1"/>
    <w:qFormat/>
    <w:rsid w:val="00323ff4"/>
    <w:rPr/>
  </w:style>
  <w:style w:type="character" w:styleId="WW8Num20z2" w:customStyle="1">
    <w:name w:val="WW8Num20z2"/>
    <w:qFormat/>
    <w:rsid w:val="00323ff4"/>
    <w:rPr/>
  </w:style>
  <w:style w:type="character" w:styleId="WW8Num20z3" w:customStyle="1">
    <w:name w:val="WW8Num20z3"/>
    <w:qFormat/>
    <w:rsid w:val="00323ff4"/>
    <w:rPr/>
  </w:style>
  <w:style w:type="character" w:styleId="WW8Num20z4" w:customStyle="1">
    <w:name w:val="WW8Num20z4"/>
    <w:qFormat/>
    <w:rsid w:val="00323ff4"/>
    <w:rPr/>
  </w:style>
  <w:style w:type="character" w:styleId="WW8Num20z5" w:customStyle="1">
    <w:name w:val="WW8Num20z5"/>
    <w:qFormat/>
    <w:rsid w:val="00323ff4"/>
    <w:rPr/>
  </w:style>
  <w:style w:type="character" w:styleId="WW8Num20z6" w:customStyle="1">
    <w:name w:val="WW8Num20z6"/>
    <w:qFormat/>
    <w:rsid w:val="00323ff4"/>
    <w:rPr/>
  </w:style>
  <w:style w:type="character" w:styleId="WW8Num20z7" w:customStyle="1">
    <w:name w:val="WW8Num20z7"/>
    <w:qFormat/>
    <w:rsid w:val="00323ff4"/>
    <w:rPr/>
  </w:style>
  <w:style w:type="character" w:styleId="WW8Num20z8" w:customStyle="1">
    <w:name w:val="WW8Num20z8"/>
    <w:qFormat/>
    <w:rsid w:val="00323ff4"/>
    <w:rPr/>
  </w:style>
  <w:style w:type="character" w:styleId="WW8Num7z0" w:customStyle="1">
    <w:name w:val="WW8Num7z0"/>
    <w:qFormat/>
    <w:rsid w:val="00323ff4"/>
    <w:rPr>
      <w:rFonts w:ascii="Symbol" w:hAnsi="Symbol" w:cs="Symbol"/>
    </w:rPr>
  </w:style>
  <w:style w:type="character" w:styleId="WW8Num3z0" w:customStyle="1">
    <w:name w:val="WW8Num3z0"/>
    <w:qFormat/>
    <w:rsid w:val="00323ff4"/>
    <w:rPr>
      <w:rFonts w:ascii="Symbol" w:hAnsi="Symbol" w:cs="Symbol"/>
      <w:sz w:val="24"/>
      <w:szCs w:val="24"/>
    </w:rPr>
  </w:style>
  <w:style w:type="character" w:styleId="Normaltextrun" w:customStyle="1">
    <w:name w:val="normaltextrun"/>
    <w:basedOn w:val="DefaultParagraphFont"/>
    <w:qFormat/>
    <w:rsid w:val="00323ff4"/>
    <w:rPr/>
  </w:style>
  <w:style w:type="character" w:styleId="Eop" w:customStyle="1">
    <w:name w:val="eop"/>
    <w:basedOn w:val="DefaultParagraphFont"/>
    <w:qFormat/>
    <w:rsid w:val="00323ff4"/>
    <w:rPr/>
  </w:style>
  <w:style w:type="character" w:styleId="TestonotaapidipaginaCarattere" w:customStyle="1">
    <w:name w:val="Testo nota a piè di pagina Carattere"/>
    <w:basedOn w:val="DefaultParagraphFont"/>
    <w:link w:val="Testonotaapidipagina1"/>
    <w:qFormat/>
    <w:rsid w:val="00ce79fb"/>
    <w:rPr>
      <w:szCs w:val="20"/>
    </w:rPr>
  </w:style>
  <w:style w:type="character" w:styleId="Hgkelc" w:customStyle="1">
    <w:name w:val="hgkelc"/>
    <w:basedOn w:val="DefaultParagraphFont"/>
    <w:qFormat/>
    <w:rsid w:val="00ce79fb"/>
    <w:rPr/>
  </w:style>
  <w:style w:type="character" w:styleId="PreformattatoHTMLCarattere" w:customStyle="1">
    <w:name w:val="Preformattato HTML Carattere"/>
    <w:basedOn w:val="DefaultParagraphFont"/>
    <w:link w:val="HTMLPreformatted"/>
    <w:qFormat/>
    <w:rsid w:val="004b2918"/>
    <w:rPr>
      <w:rFonts w:ascii="Arial Unicode MS" w:hAnsi="Arial Unicode MS" w:eastAsia="Arial Unicode MS" w:cs="Arial Unicode MS"/>
      <w:szCs w:val="20"/>
      <w:lang w:eastAsia="zh-CN"/>
    </w:rPr>
  </w:style>
  <w:style w:type="character" w:styleId="IntestazioneCarattere1" w:customStyle="1">
    <w:name w:val="Intestazione Carattere1"/>
    <w:basedOn w:val="DefaultParagraphFont"/>
    <w:uiPriority w:val="99"/>
    <w:semiHidden/>
    <w:qFormat/>
    <w:rsid w:val="007628a9"/>
    <w:rPr>
      <w:color w:val="00000A"/>
      <w:sz w:val="24"/>
    </w:rPr>
  </w:style>
  <w:style w:type="character" w:styleId="PidipaginaCarattere1" w:customStyle="1">
    <w:name w:val="Piè di pagina Carattere1"/>
    <w:basedOn w:val="DefaultParagraphFont"/>
    <w:uiPriority w:val="99"/>
    <w:semiHidden/>
    <w:qFormat/>
    <w:rsid w:val="007628a9"/>
    <w:rPr>
      <w:color w:val="00000A"/>
      <w:sz w:val="24"/>
    </w:rPr>
  </w:style>
  <w:style w:type="character" w:styleId="Titolo1Carattere1" w:customStyle="1">
    <w:name w:val="Titolo 1 Carattere1"/>
    <w:basedOn w:val="DefaultParagraphFont"/>
    <w:uiPriority w:val="9"/>
    <w:qFormat/>
    <w:rsid w:val="007500dd"/>
    <w:rPr>
      <w:rFonts w:ascii="Calibri Light" w:hAnsi="Calibri Light" w:eastAsia="" w:cs="" w:asciiTheme="majorHAnsi" w:cstheme="majorBidi" w:eastAsiaTheme="majorEastAsia" w:hAnsiTheme="majorHAnsi"/>
      <w:b/>
      <w:bCs/>
      <w:color w:themeColor="accent1" w:themeShade="bf" w:val="2F5496"/>
      <w:sz w:val="28"/>
      <w:szCs w:val="28"/>
    </w:rPr>
  </w:style>
  <w:style w:type="character" w:styleId="Titolo2Carattere1" w:customStyle="1">
    <w:name w:val="Titolo 2 Carattere1"/>
    <w:basedOn w:val="DefaultParagraphFont"/>
    <w:uiPriority w:val="9"/>
    <w:semiHidden/>
    <w:qFormat/>
    <w:rsid w:val="007500dd"/>
    <w:rPr>
      <w:rFonts w:ascii="Calibri Light" w:hAnsi="Calibri Light" w:eastAsia="" w:cs="" w:asciiTheme="majorHAnsi" w:cstheme="majorBidi" w:eastAsiaTheme="majorEastAsia" w:hAnsiTheme="majorHAnsi"/>
      <w:b/>
      <w:bCs/>
      <w:color w:themeColor="accent1" w:val="4472C4"/>
      <w:sz w:val="26"/>
      <w:szCs w:val="26"/>
    </w:rPr>
  </w:style>
  <w:style w:type="character" w:styleId="Titolo3Carattere1" w:customStyle="1">
    <w:name w:val="Titolo 3 Carattere1"/>
    <w:basedOn w:val="DefaultParagraphFont"/>
    <w:semiHidden/>
    <w:qFormat/>
    <w:rsid w:val="007500dd"/>
    <w:rPr>
      <w:rFonts w:ascii="Calibri Light" w:hAnsi="Calibri Light" w:eastAsia="" w:cs="" w:asciiTheme="majorHAnsi" w:cstheme="majorBidi" w:eastAsiaTheme="majorEastAsia" w:hAnsiTheme="majorHAnsi"/>
      <w:b/>
      <w:bCs/>
      <w:color w:themeColor="accent1" w:val="4472C4"/>
      <w:sz w:val="24"/>
    </w:rPr>
  </w:style>
  <w:style w:type="character" w:styleId="Titolo4Carattere1" w:customStyle="1">
    <w:name w:val="Titolo 4 Carattere1"/>
    <w:basedOn w:val="DefaultParagraphFont"/>
    <w:semiHidden/>
    <w:qFormat/>
    <w:rsid w:val="007500dd"/>
    <w:rPr>
      <w:rFonts w:ascii="Calibri Light" w:hAnsi="Calibri Light" w:eastAsia="" w:cs="" w:asciiTheme="majorHAnsi" w:cstheme="majorBidi" w:eastAsiaTheme="majorEastAsia" w:hAnsiTheme="majorHAnsi"/>
      <w:b/>
      <w:bCs/>
      <w:i/>
      <w:iCs/>
      <w:color w:themeColor="accent1" w:val="4472C4"/>
      <w:sz w:val="24"/>
    </w:rPr>
  </w:style>
  <w:style w:type="character" w:styleId="Titolo5Carattere1" w:customStyle="1">
    <w:name w:val="Titolo 5 Carattere1"/>
    <w:basedOn w:val="DefaultParagraphFont"/>
    <w:semiHidden/>
    <w:qFormat/>
    <w:rsid w:val="007500dd"/>
    <w:rPr>
      <w:rFonts w:ascii="Calibri Light" w:hAnsi="Calibri Light" w:eastAsia="" w:cs="" w:asciiTheme="majorHAnsi" w:cstheme="majorBidi" w:eastAsiaTheme="majorEastAsia" w:hAnsiTheme="majorHAnsi"/>
      <w:color w:themeColor="accent1" w:themeShade="7f" w:val="1F3763"/>
      <w:sz w:val="24"/>
    </w:rPr>
  </w:style>
  <w:style w:type="character" w:styleId="Titolo6Carattere1" w:customStyle="1">
    <w:name w:val="Titolo 6 Carattere1"/>
    <w:basedOn w:val="DefaultParagraphFont"/>
    <w:semiHidden/>
    <w:qFormat/>
    <w:rsid w:val="007500dd"/>
    <w:rPr>
      <w:rFonts w:ascii="Calibri Light" w:hAnsi="Calibri Light" w:eastAsia="" w:cs="" w:asciiTheme="majorHAnsi" w:cstheme="majorBidi" w:eastAsiaTheme="majorEastAsia" w:hAnsiTheme="majorHAnsi"/>
      <w:i/>
      <w:iCs/>
      <w:color w:themeColor="accent1" w:themeShade="7f" w:val="1F3763"/>
      <w:sz w:val="24"/>
    </w:rPr>
  </w:style>
  <w:style w:type="character" w:styleId="Titolo7Carattere1" w:customStyle="1">
    <w:name w:val="Titolo 7 Carattere1"/>
    <w:basedOn w:val="DefaultParagraphFont"/>
    <w:semiHidden/>
    <w:qFormat/>
    <w:rsid w:val="007500dd"/>
    <w:rPr>
      <w:rFonts w:ascii="Calibri Light" w:hAnsi="Calibri Light" w:eastAsia="" w:cs="" w:asciiTheme="majorHAnsi" w:cstheme="majorBidi" w:eastAsiaTheme="majorEastAsia" w:hAnsiTheme="majorHAnsi"/>
      <w:i/>
      <w:iCs/>
      <w:color w:themeColor="text1" w:themeTint="bf" w:val="404040"/>
      <w:sz w:val="24"/>
    </w:rPr>
  </w:style>
  <w:style w:type="character" w:styleId="Titolo8Carattere1" w:customStyle="1">
    <w:name w:val="Titolo 8 Carattere1"/>
    <w:basedOn w:val="DefaultParagraphFont"/>
    <w:semiHidden/>
    <w:qFormat/>
    <w:rsid w:val="007500dd"/>
    <w:rPr>
      <w:rFonts w:ascii="Calibri Light" w:hAnsi="Calibri Light" w:eastAsia="" w:cs="" w:asciiTheme="majorHAnsi" w:cstheme="majorBidi" w:eastAsiaTheme="majorEastAsia" w:hAnsiTheme="majorHAnsi"/>
      <w:color w:themeColor="text1" w:themeTint="bf" w:val="404040"/>
      <w:szCs w:val="20"/>
    </w:rPr>
  </w:style>
  <w:style w:type="character" w:styleId="Titolo9Carattere1" w:customStyle="1">
    <w:name w:val="Titolo 9 Carattere1"/>
    <w:basedOn w:val="DefaultParagraphFont"/>
    <w:semiHidden/>
    <w:qFormat/>
    <w:rsid w:val="007500dd"/>
    <w:rPr>
      <w:rFonts w:ascii="Calibri Light" w:hAnsi="Calibri Light" w:eastAsia="" w:cs="" w:asciiTheme="majorHAnsi" w:cstheme="majorBidi" w:eastAsiaTheme="majorEastAsia" w:hAnsiTheme="majorHAnsi"/>
      <w:i/>
      <w:iCs/>
      <w:color w:themeColor="text1" w:themeTint="bf" w:val="404040"/>
      <w:szCs w:val="20"/>
    </w:rPr>
  </w:style>
  <w:style w:type="character" w:styleId="Collegamentoipertestuale1" w:customStyle="1">
    <w:name w:val="Collegamento ipertestuale1"/>
    <w:basedOn w:val="DefaultParagraphFont"/>
    <w:uiPriority w:val="99"/>
    <w:unhideWhenUsed/>
    <w:qFormat/>
    <w:rsid w:val="007500dd"/>
    <w:rPr>
      <w:color w:themeColor="hyperlink" w:val="0563C1"/>
      <w:u w:val="single"/>
    </w:rPr>
  </w:style>
  <w:style w:type="character" w:styleId="Rimandonotaapidipagina1" w:customStyle="1">
    <w:name w:val="Rimando nota a piè di pagina1"/>
    <w:qFormat/>
    <w:rsid w:val="007500dd"/>
    <w:rPr>
      <w:vertAlign w:val="superscript"/>
    </w:rPr>
  </w:style>
  <w:style w:type="character" w:styleId="Rimandonotadichiusura1" w:customStyle="1">
    <w:name w:val="Rimando nota di chiusura1"/>
    <w:qFormat/>
    <w:rsid w:val="007500dd"/>
    <w:rPr>
      <w:vertAlign w:val="superscript"/>
    </w:rPr>
  </w:style>
  <w:style w:type="character" w:styleId="TestonotaapidipaginaCarattere1" w:customStyle="1">
    <w:name w:val="Testo nota a piè di pagina Carattere1"/>
    <w:basedOn w:val="DefaultParagraphFont"/>
    <w:semiHidden/>
    <w:qFormat/>
    <w:rsid w:val="007500dd"/>
    <w:rPr>
      <w:color w:val="00000A"/>
      <w:szCs w:val="20"/>
    </w:rPr>
  </w:style>
  <w:style w:type="character" w:styleId="Object" w:customStyle="1">
    <w:name w:val="object"/>
    <w:basedOn w:val="DefaultParagraphFont"/>
    <w:qFormat/>
    <w:rsid w:val="007500dd"/>
    <w:rPr/>
  </w:style>
  <w:style w:type="character" w:styleId="Titolo1Carattere2" w:customStyle="1">
    <w:name w:val="Titolo 1 Carattere2"/>
    <w:basedOn w:val="DefaultParagraphFont"/>
    <w:uiPriority w:val="9"/>
    <w:qFormat/>
    <w:rsid w:val="00fd6e4a"/>
    <w:rPr>
      <w:rFonts w:ascii="Calibri Light" w:hAnsi="Calibri Light" w:eastAsia="" w:cs="" w:asciiTheme="majorHAnsi" w:cstheme="majorBidi" w:eastAsiaTheme="majorEastAsia" w:hAnsiTheme="majorHAnsi"/>
      <w:b/>
      <w:bCs/>
      <w:color w:themeColor="accent1" w:themeShade="bf" w:val="2F5496"/>
      <w:sz w:val="28"/>
      <w:szCs w:val="28"/>
    </w:rPr>
  </w:style>
  <w:style w:type="character" w:styleId="Titolo2Carattere2" w:customStyle="1">
    <w:name w:val="Titolo 2 Carattere2"/>
    <w:basedOn w:val="DefaultParagraphFont"/>
    <w:uiPriority w:val="9"/>
    <w:semiHidden/>
    <w:qFormat/>
    <w:rsid w:val="00fd6e4a"/>
    <w:rPr>
      <w:rFonts w:ascii="Calibri Light" w:hAnsi="Calibri Light" w:eastAsia="" w:cs="" w:asciiTheme="majorHAnsi" w:cstheme="majorBidi" w:eastAsiaTheme="majorEastAsia" w:hAnsiTheme="majorHAnsi"/>
      <w:b/>
      <w:bCs/>
      <w:color w:themeColor="accent1" w:val="4472C4"/>
      <w:sz w:val="26"/>
      <w:szCs w:val="26"/>
    </w:rPr>
  </w:style>
  <w:style w:type="character" w:styleId="Titolo3Carattere2" w:customStyle="1">
    <w:name w:val="Titolo 3 Carattere2"/>
    <w:basedOn w:val="DefaultParagraphFont"/>
    <w:semiHidden/>
    <w:qFormat/>
    <w:rsid w:val="00fd6e4a"/>
    <w:rPr>
      <w:rFonts w:ascii="Calibri Light" w:hAnsi="Calibri Light" w:eastAsia="" w:cs="" w:asciiTheme="majorHAnsi" w:cstheme="majorBidi" w:eastAsiaTheme="majorEastAsia" w:hAnsiTheme="majorHAnsi"/>
      <w:b/>
      <w:bCs/>
      <w:color w:themeColor="accent1" w:val="4472C4"/>
      <w:sz w:val="24"/>
    </w:rPr>
  </w:style>
  <w:style w:type="character" w:styleId="Titolo4Carattere2" w:customStyle="1">
    <w:name w:val="Titolo 4 Carattere2"/>
    <w:basedOn w:val="DefaultParagraphFont"/>
    <w:semiHidden/>
    <w:qFormat/>
    <w:rsid w:val="00fd6e4a"/>
    <w:rPr>
      <w:rFonts w:ascii="Calibri Light" w:hAnsi="Calibri Light" w:eastAsia="" w:cs="" w:asciiTheme="majorHAnsi" w:cstheme="majorBidi" w:eastAsiaTheme="majorEastAsia" w:hAnsiTheme="majorHAnsi"/>
      <w:b/>
      <w:bCs/>
      <w:i/>
      <w:iCs/>
      <w:color w:themeColor="accent1" w:val="4472C4"/>
      <w:sz w:val="24"/>
    </w:rPr>
  </w:style>
  <w:style w:type="character" w:styleId="Titolo5Carattere2" w:customStyle="1">
    <w:name w:val="Titolo 5 Carattere2"/>
    <w:basedOn w:val="DefaultParagraphFont"/>
    <w:semiHidden/>
    <w:qFormat/>
    <w:rsid w:val="00fd6e4a"/>
    <w:rPr>
      <w:rFonts w:ascii="Calibri Light" w:hAnsi="Calibri Light" w:eastAsia="" w:cs="" w:asciiTheme="majorHAnsi" w:cstheme="majorBidi" w:eastAsiaTheme="majorEastAsia" w:hAnsiTheme="majorHAnsi"/>
      <w:color w:themeColor="accent1" w:themeShade="7f" w:val="1F3763"/>
      <w:sz w:val="24"/>
    </w:rPr>
  </w:style>
  <w:style w:type="character" w:styleId="Titolo6Carattere2" w:customStyle="1">
    <w:name w:val="Titolo 6 Carattere2"/>
    <w:basedOn w:val="DefaultParagraphFont"/>
    <w:semiHidden/>
    <w:qFormat/>
    <w:rsid w:val="00fd6e4a"/>
    <w:rPr>
      <w:rFonts w:ascii="Calibri Light" w:hAnsi="Calibri Light" w:eastAsia="" w:cs="" w:asciiTheme="majorHAnsi" w:cstheme="majorBidi" w:eastAsiaTheme="majorEastAsia" w:hAnsiTheme="majorHAnsi"/>
      <w:i/>
      <w:iCs/>
      <w:color w:themeColor="accent1" w:themeShade="7f" w:val="1F3763"/>
      <w:sz w:val="24"/>
    </w:rPr>
  </w:style>
  <w:style w:type="character" w:styleId="Titolo7Carattere2" w:customStyle="1">
    <w:name w:val="Titolo 7 Carattere2"/>
    <w:basedOn w:val="DefaultParagraphFont"/>
    <w:semiHidden/>
    <w:qFormat/>
    <w:rsid w:val="00fd6e4a"/>
    <w:rPr>
      <w:rFonts w:ascii="Calibri Light" w:hAnsi="Calibri Light" w:eastAsia="" w:cs="" w:asciiTheme="majorHAnsi" w:cstheme="majorBidi" w:eastAsiaTheme="majorEastAsia" w:hAnsiTheme="majorHAnsi"/>
      <w:i/>
      <w:iCs/>
      <w:color w:themeColor="text1" w:themeTint="bf" w:val="404040"/>
      <w:sz w:val="24"/>
    </w:rPr>
  </w:style>
  <w:style w:type="character" w:styleId="Titolo8Carattere2" w:customStyle="1">
    <w:name w:val="Titolo 8 Carattere2"/>
    <w:basedOn w:val="DefaultParagraphFont"/>
    <w:semiHidden/>
    <w:qFormat/>
    <w:rsid w:val="00fd6e4a"/>
    <w:rPr>
      <w:rFonts w:ascii="Calibri Light" w:hAnsi="Calibri Light" w:eastAsia="" w:cs="" w:asciiTheme="majorHAnsi" w:cstheme="majorBidi" w:eastAsiaTheme="majorEastAsia" w:hAnsiTheme="majorHAnsi"/>
      <w:color w:themeColor="text1" w:themeTint="bf" w:val="404040"/>
      <w:szCs w:val="20"/>
    </w:rPr>
  </w:style>
  <w:style w:type="character" w:styleId="Titolo9Carattere2" w:customStyle="1">
    <w:name w:val="Titolo 9 Carattere2"/>
    <w:basedOn w:val="DefaultParagraphFont"/>
    <w:semiHidden/>
    <w:qFormat/>
    <w:rsid w:val="00fd6e4a"/>
    <w:rPr>
      <w:rFonts w:ascii="Calibri Light" w:hAnsi="Calibri Light" w:eastAsia="" w:cs="" w:asciiTheme="majorHAnsi" w:cstheme="majorBidi" w:eastAsiaTheme="majorEastAsia" w:hAnsiTheme="majorHAnsi"/>
      <w:i/>
      <w:iCs/>
      <w:color w:themeColor="text1" w:themeTint="bf" w:val="404040"/>
      <w:szCs w:val="20"/>
    </w:rPr>
  </w:style>
  <w:style w:type="character" w:styleId="CitazioneCarattere" w:customStyle="1">
    <w:name w:val="Citazione Carattere"/>
    <w:basedOn w:val="DefaultParagraphFont"/>
    <w:link w:val="Quote"/>
    <w:uiPriority w:val="29"/>
    <w:qFormat/>
    <w:rsid w:val="00fd6e4a"/>
    <w:rPr>
      <w:i/>
      <w:iCs/>
      <w:color w:themeColor="text1" w:themeTint="bf" w:val="404040"/>
      <w:kern w:val="2"/>
      <w:sz w:val="24"/>
    </w:rPr>
  </w:style>
  <w:style w:type="character" w:styleId="IntenseEmphasis">
    <w:name w:val="Intense Emphasis"/>
    <w:basedOn w:val="DefaultParagraphFont"/>
    <w:uiPriority w:val="21"/>
    <w:qFormat/>
    <w:rsid w:val="00fd6e4a"/>
    <w:rPr>
      <w:i/>
      <w:iCs/>
      <w:color w:themeColor="accent1" w:themeShade="bf" w:val="2F5496"/>
    </w:rPr>
  </w:style>
  <w:style w:type="character" w:styleId="CitazioneintensaCarattere" w:customStyle="1">
    <w:name w:val="Citazione intensa Carattere"/>
    <w:basedOn w:val="DefaultParagraphFont"/>
    <w:link w:val="IntenseQuote"/>
    <w:uiPriority w:val="30"/>
    <w:qFormat/>
    <w:rsid w:val="00fd6e4a"/>
    <w:rPr>
      <w:i/>
      <w:iCs/>
      <w:color w:themeColor="accent1" w:themeShade="bf" w:val="2F5496"/>
      <w:kern w:val="2"/>
      <w:sz w:val="24"/>
    </w:rPr>
  </w:style>
  <w:style w:type="character" w:styleId="IntenseReference">
    <w:name w:val="Intense Reference"/>
    <w:basedOn w:val="DefaultParagraphFont"/>
    <w:uiPriority w:val="32"/>
    <w:qFormat/>
    <w:rsid w:val="00fd6e4a"/>
    <w:rPr>
      <w:b/>
      <w:bCs/>
      <w:smallCaps/>
      <w:color w:themeColor="accent1" w:themeShade="bf" w:val="2F5496"/>
      <w:spacing w:val="5"/>
    </w:rPr>
  </w:style>
  <w:style w:type="character" w:styleId="TestonotaapidipaginaCarattere2" w:customStyle="1">
    <w:name w:val="Testo nota a piè di pagina Carattere2"/>
    <w:basedOn w:val="DefaultParagraphFont"/>
    <w:semiHidden/>
    <w:qFormat/>
    <w:rsid w:val="00fd6e4a"/>
    <w:rPr>
      <w:rFonts w:ascii="Calibri" w:hAnsi="Calibri" w:eastAsia="Calibri"/>
      <w:color w:val="00000A"/>
      <w:szCs w:val="20"/>
    </w:rPr>
  </w:style>
  <w:style w:type="character" w:styleId="UnresolvedMention" w:customStyle="1">
    <w:name w:val="Unresolved Mention"/>
    <w:basedOn w:val="DefaultParagraphFont"/>
    <w:uiPriority w:val="99"/>
    <w:semiHidden/>
    <w:unhideWhenUsed/>
    <w:qFormat/>
    <w:rsid w:val="00fd6e4a"/>
    <w:rPr>
      <w:color w:val="605E5C"/>
      <w:shd w:fill="E1DFDD" w:val="clear"/>
    </w:rPr>
  </w:style>
  <w:style w:type="character" w:styleId="Annotationreference">
    <w:name w:val="annotation reference"/>
    <w:basedOn w:val="DefaultParagraphFont"/>
    <w:uiPriority w:val="99"/>
    <w:unhideWhenUsed/>
    <w:qFormat/>
    <w:rsid w:val="00fd6e4a"/>
    <w:rPr>
      <w:sz w:val="16"/>
      <w:szCs w:val="16"/>
    </w:rPr>
  </w:style>
  <w:style w:type="character" w:styleId="TestocommentoCarattere" w:customStyle="1">
    <w:name w:val="Testo commento Carattere"/>
    <w:basedOn w:val="DefaultParagraphFont"/>
    <w:link w:val="Annotationtext"/>
    <w:uiPriority w:val="99"/>
    <w:qFormat/>
    <w:rsid w:val="00fd6e4a"/>
    <w:rPr>
      <w:szCs w:val="20"/>
    </w:rPr>
  </w:style>
  <w:style w:type="character" w:styleId="SoggettocommentoCarattere" w:customStyle="1">
    <w:name w:val="Soggetto commento Carattere"/>
    <w:basedOn w:val="TestocommentoCarattere"/>
    <w:link w:val="Annotationsubject"/>
    <w:qFormat/>
    <w:rsid w:val="00fd6e4a"/>
    <w:rPr>
      <w:b/>
      <w:bCs/>
    </w:rPr>
  </w:style>
  <w:style w:type="character" w:styleId="PidipaginaCarattere2" w:customStyle="1">
    <w:name w:val="Piè di pagina Carattere2"/>
    <w:basedOn w:val="DefaultParagraphFont"/>
    <w:uiPriority w:val="99"/>
    <w:semiHidden/>
    <w:qFormat/>
    <w:rsid w:val="00fd6e4a"/>
    <w:rPr>
      <w:rFonts w:ascii="Calibri" w:hAnsi="Calibri" w:eastAsia="Calibri"/>
      <w:color w:val="00000A"/>
      <w:sz w:val="24"/>
    </w:rPr>
  </w:style>
  <w:style w:type="character" w:styleId="IntestazioneCarattere2" w:customStyle="1">
    <w:name w:val="Intestazione Carattere2"/>
    <w:basedOn w:val="DefaultParagraphFont"/>
    <w:semiHidden/>
    <w:qFormat/>
    <w:rsid w:val="00fd6e4a"/>
    <w:rPr>
      <w:rFonts w:ascii="Calibri" w:hAnsi="Calibri" w:eastAsia="Calibri"/>
      <w:color w:val="00000A"/>
      <w:sz w:val="24"/>
    </w:rPr>
  </w:style>
  <w:style w:type="character" w:styleId="Hyperlink0" w:customStyle="1">
    <w:name w:val="Hyperlink.0"/>
    <w:basedOn w:val="DefaultParagraphFont"/>
    <w:qFormat/>
    <w:rsid w:val="00fd6e4a"/>
    <w:rPr>
      <w:color w:val="0563C1"/>
      <w:sz w:val="21"/>
      <w:szCs w:val="21"/>
      <w:u w:val="single" w:color="0563C1"/>
    </w:rPr>
  </w:style>
  <w:style w:type="character" w:styleId="Elencon" w:customStyle="1">
    <w:name w:val="elenco_n"/>
    <w:basedOn w:val="DefaultParagraphFont"/>
    <w:qFormat/>
    <w:rsid w:val="00fd6e4a"/>
    <w:rPr/>
  </w:style>
  <w:style w:type="character" w:styleId="Linenumber">
    <w:name w:val="line number"/>
    <w:basedOn w:val="DefaultParagraphFont"/>
    <w:uiPriority w:val="99"/>
    <w:semiHidden/>
    <w:unhideWhenUsed/>
    <w:qFormat/>
    <w:rsid w:val="00fd6e4a"/>
    <w:rPr/>
  </w:style>
  <w:style w:type="paragraph" w:styleId="Titolo">
    <w:name w:val="Titol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CorpodeltestoCarattere"/>
    <w:uiPriority w:val="1"/>
    <w:qFormat/>
    <w:rsid w:val="0002254b"/>
    <w:pPr>
      <w:pBdr>
        <w:top w:val="single" w:sz="4" w:space="1" w:color="000001"/>
        <w:left w:val="single" w:sz="4" w:space="1" w:color="000001"/>
        <w:bottom w:val="single" w:sz="4" w:space="1" w:color="000001"/>
        <w:right w:val="single" w:sz="4" w:space="1" w:color="000001"/>
      </w:pBdr>
      <w:jc w:val="both"/>
    </w:pPr>
    <w:rPr>
      <w:rFonts w:ascii="Arial" w:hAnsi="Arial" w:eastAsia="Times New Roman" w:cs="Times New Roman"/>
      <w:color w:val="000000"/>
      <w:sz w:val="22"/>
      <w:szCs w:val="20"/>
      <w:lang w:eastAsia="it-IT"/>
    </w:rPr>
  </w:style>
  <w:style w:type="paragraph" w:styleId="List">
    <w:name w:val="List"/>
    <w:basedOn w:val="BodyText"/>
    <w:rsid w:val="00323ff4"/>
    <w:pPr/>
    <w:rPr>
      <w:rFonts w:cs="Mangal"/>
    </w:rPr>
  </w:style>
  <w:style w:type="paragraph" w:styleId="Caption" w:customStyle="1">
    <w:name w:val="Caption"/>
    <w:basedOn w:val="Normal"/>
    <w:qFormat/>
    <w:rsid w:val="00a67cfe"/>
    <w:pPr>
      <w:suppressLineNumbers/>
      <w:spacing w:before="120" w:after="120"/>
    </w:pPr>
    <w:rPr>
      <w:rFonts w:cs="Lucida Sans"/>
      <w:i/>
      <w:iCs/>
    </w:rPr>
  </w:style>
  <w:style w:type="paragraph" w:styleId="Indice" w:customStyle="1">
    <w:name w:val="Indice"/>
    <w:basedOn w:val="Normal"/>
    <w:qFormat/>
    <w:rsid w:val="00323ff4"/>
    <w:pPr>
      <w:suppressLineNumbers/>
    </w:pPr>
    <w:rPr>
      <w:rFonts w:cs="Mangal"/>
    </w:rPr>
  </w:style>
  <w:style w:type="paragraph" w:styleId="Title">
    <w:name w:val="Title"/>
    <w:basedOn w:val="Normal"/>
    <w:next w:val="BodyText"/>
    <w:link w:val="TitoloCarattere"/>
    <w:uiPriority w:val="10"/>
    <w:qFormat/>
    <w:rsid w:val="0002254b"/>
    <w:pPr>
      <w:jc w:val="center"/>
    </w:pPr>
    <w:rPr>
      <w:rFonts w:ascii="Arial" w:hAnsi="Arial" w:eastAsia="Times New Roman" w:cs="Times New Roman"/>
      <w:b/>
      <w:i/>
      <w:color w:val="000000"/>
      <w:sz w:val="35"/>
      <w:szCs w:val="20"/>
      <w:lang w:eastAsia="it-IT"/>
    </w:rPr>
  </w:style>
  <w:style w:type="paragraph" w:styleId="Titolo11" w:customStyle="1">
    <w:name w:val="Titolo 11"/>
    <w:basedOn w:val="Normal"/>
    <w:link w:val="Titolo1Carattere"/>
    <w:uiPriority w:val="1"/>
    <w:qFormat/>
    <w:rsid w:val="00e53798"/>
    <w:pPr>
      <w:widowControl w:val="false"/>
      <w:suppressAutoHyphens w:val="false"/>
      <w:ind w:hanging="603" w:left="797"/>
      <w:outlineLvl w:val="1"/>
    </w:pPr>
    <w:rPr>
      <w:rFonts w:ascii="Microsoft Sans Serif" w:hAnsi="Microsoft Sans Serif" w:eastAsia="Microsoft Sans Serif" w:cs="Microsoft Sans Serif"/>
    </w:rPr>
  </w:style>
  <w:style w:type="paragraph" w:styleId="Titolo21" w:customStyle="1">
    <w:name w:val="Titolo 21"/>
    <w:basedOn w:val="Normal"/>
    <w:link w:val="Titolo2Carattere"/>
    <w:uiPriority w:val="1"/>
    <w:qFormat/>
    <w:rsid w:val="00e53798"/>
    <w:pPr>
      <w:widowControl w:val="false"/>
      <w:suppressAutoHyphens w:val="false"/>
      <w:ind w:left="195"/>
      <w:outlineLvl w:val="2"/>
    </w:pPr>
    <w:rPr>
      <w:rFonts w:ascii="Arial" w:hAnsi="Arial" w:eastAsia="Arial" w:cs="Arial"/>
      <w:b/>
      <w:bCs/>
      <w:sz w:val="22"/>
      <w:szCs w:val="22"/>
    </w:rPr>
  </w:style>
  <w:style w:type="paragraph" w:styleId="Titolo31" w:customStyle="1">
    <w:name w:val="Titolo 31"/>
    <w:basedOn w:val="Normal"/>
    <w:link w:val="Titolo3Carattere"/>
    <w:unhideWhenUsed/>
    <w:qFormat/>
    <w:rsid w:val="004c7837"/>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rPr>
  </w:style>
  <w:style w:type="paragraph" w:styleId="Titolo41" w:customStyle="1">
    <w:name w:val="Titolo 41"/>
    <w:basedOn w:val="Normal"/>
    <w:link w:val="Titolo4Carattere"/>
    <w:qFormat/>
    <w:rsid w:val="0002254b"/>
    <w:pPr>
      <w:keepNext w:val="true"/>
      <w:outlineLvl w:val="3"/>
    </w:pPr>
    <w:rPr>
      <w:rFonts w:ascii="Arial" w:hAnsi="Arial" w:eastAsia="Times New Roman" w:cs="Times New Roman"/>
      <w:b/>
      <w:color w:val="000000"/>
      <w:sz w:val="28"/>
      <w:szCs w:val="20"/>
      <w:u w:val="single"/>
      <w:lang w:eastAsia="it-IT"/>
    </w:rPr>
  </w:style>
  <w:style w:type="paragraph" w:styleId="Titolo51" w:customStyle="1">
    <w:name w:val="Titolo 51"/>
    <w:basedOn w:val="Normal"/>
    <w:link w:val="Titolo5Carattere"/>
    <w:qFormat/>
    <w:rsid w:val="0002254b"/>
    <w:pPr>
      <w:keepNext w:val="true"/>
      <w:pBdr>
        <w:top w:val="single" w:sz="4" w:space="1" w:color="000001"/>
        <w:left w:val="single" w:sz="4" w:space="1" w:color="000001"/>
        <w:bottom w:val="single" w:sz="4" w:space="1" w:color="000001"/>
        <w:right w:val="single" w:sz="4" w:space="1" w:color="000001"/>
      </w:pBdr>
      <w:tabs>
        <w:tab w:val="clear" w:pos="720"/>
        <w:tab w:val="center" w:pos="709" w:leader="none"/>
        <w:tab w:val="center" w:pos="2694" w:leader="none"/>
      </w:tabs>
      <w:ind w:firstLine="60"/>
      <w:jc w:val="both"/>
      <w:outlineLvl w:val="4"/>
    </w:pPr>
    <w:rPr>
      <w:rFonts w:ascii="Arial" w:hAnsi="Arial" w:eastAsia="Times New Roman" w:cs="Times New Roman"/>
      <w:b/>
      <w:color w:val="000000"/>
      <w:sz w:val="22"/>
      <w:szCs w:val="20"/>
      <w:lang w:eastAsia="it-IT"/>
    </w:rPr>
  </w:style>
  <w:style w:type="paragraph" w:styleId="Titolo61" w:customStyle="1">
    <w:name w:val="Titolo 61"/>
    <w:basedOn w:val="Normal"/>
    <w:link w:val="Titolo6Carattere"/>
    <w:qFormat/>
    <w:rsid w:val="0002254b"/>
    <w:pPr>
      <w:keepNext w:val="true"/>
      <w:outlineLvl w:val="5"/>
    </w:pPr>
    <w:rPr>
      <w:rFonts w:ascii="Arial" w:hAnsi="Arial" w:eastAsia="Times New Roman" w:cs="Times New Roman"/>
      <w:b/>
      <w:color w:val="000000"/>
      <w:sz w:val="36"/>
      <w:szCs w:val="20"/>
      <w:u w:val="single"/>
      <w:lang w:eastAsia="it-IT"/>
    </w:rPr>
  </w:style>
  <w:style w:type="paragraph" w:styleId="Titolo71" w:customStyle="1">
    <w:name w:val="Titolo 71"/>
    <w:basedOn w:val="Normal"/>
    <w:link w:val="Titolo7Carattere"/>
    <w:qFormat/>
    <w:rsid w:val="0002254b"/>
    <w:pPr>
      <w:keepNext w:val="true"/>
      <w:pBdr>
        <w:top w:val="single" w:sz="4" w:space="1" w:color="000001"/>
        <w:left w:val="single" w:sz="4" w:space="4" w:color="000001"/>
        <w:bottom w:val="single" w:sz="4" w:space="1" w:color="000001"/>
        <w:right w:val="single" w:sz="4" w:space="4" w:color="000001"/>
      </w:pBdr>
      <w:tabs>
        <w:tab w:val="clear" w:pos="720"/>
        <w:tab w:val="center" w:pos="709" w:leader="none"/>
        <w:tab w:val="center" w:pos="2694" w:leader="none"/>
      </w:tabs>
      <w:jc w:val="both"/>
      <w:outlineLvl w:val="6"/>
    </w:pPr>
    <w:rPr>
      <w:rFonts w:ascii="Arial" w:hAnsi="Arial" w:eastAsia="Times New Roman" w:cs="Times New Roman"/>
      <w:b/>
      <w:color w:val="000000"/>
      <w:sz w:val="22"/>
      <w:szCs w:val="20"/>
      <w:lang w:eastAsia="it-IT"/>
    </w:rPr>
  </w:style>
  <w:style w:type="paragraph" w:styleId="Titolo81" w:customStyle="1">
    <w:name w:val="Titolo 81"/>
    <w:basedOn w:val="Normal"/>
    <w:link w:val="Titolo8Carattere"/>
    <w:qFormat/>
    <w:rsid w:val="0002254b"/>
    <w:pPr>
      <w:keepNext w:val="true"/>
      <w:outlineLvl w:val="7"/>
    </w:pPr>
    <w:rPr>
      <w:rFonts w:ascii="Arial" w:hAnsi="Arial" w:eastAsia="Times New Roman" w:cs="Times New Roman"/>
      <w:b/>
      <w:color w:val="000000"/>
      <w:sz w:val="22"/>
      <w:szCs w:val="20"/>
      <w:u w:val="single"/>
      <w:lang w:eastAsia="it-IT"/>
    </w:rPr>
  </w:style>
  <w:style w:type="paragraph" w:styleId="Titolo91" w:customStyle="1">
    <w:name w:val="Titolo 91"/>
    <w:basedOn w:val="Normal"/>
    <w:link w:val="Titolo9Carattere"/>
    <w:qFormat/>
    <w:rsid w:val="0002254b"/>
    <w:pPr>
      <w:keepNext w:val="true"/>
      <w:jc w:val="both"/>
      <w:outlineLvl w:val="8"/>
    </w:pPr>
    <w:rPr>
      <w:rFonts w:ascii="Arial" w:hAnsi="Arial" w:eastAsia="Times New Roman" w:cs="Times New Roman"/>
      <w:b/>
      <w:color w:val="000000"/>
      <w:sz w:val="22"/>
      <w:szCs w:val="20"/>
      <w:u w:val="single"/>
      <w:lang w:eastAsia="it-IT"/>
    </w:rPr>
  </w:style>
  <w:style w:type="paragraph" w:styleId="Didascalia1" w:customStyle="1">
    <w:name w:val="Didascalia1"/>
    <w:basedOn w:val="Normal"/>
    <w:qFormat/>
    <w:rsid w:val="0032358e"/>
    <w:pPr>
      <w:suppressLineNumbers/>
      <w:spacing w:before="120" w:after="120"/>
    </w:pPr>
    <w:rPr>
      <w:rFonts w:cs="Lucida Sans"/>
      <w:i/>
      <w:iCs/>
    </w:rPr>
  </w:style>
  <w:style w:type="paragraph" w:styleId="Caption1" w:customStyle="1">
    <w:name w:val="caption1"/>
    <w:basedOn w:val="Normal"/>
    <w:qFormat/>
    <w:rsid w:val="00323ff4"/>
    <w:pPr>
      <w:suppressLineNumbers/>
      <w:spacing w:before="120" w:after="120"/>
    </w:pPr>
    <w:rPr>
      <w:rFonts w:cs="Mangal"/>
      <w:i/>
      <w:iCs/>
    </w:rPr>
  </w:style>
  <w:style w:type="paragraph" w:styleId="ListParagraph">
    <w:name w:val="List Paragraph"/>
    <w:basedOn w:val="Normal"/>
    <w:uiPriority w:val="34"/>
    <w:qFormat/>
    <w:rsid w:val="00323ff4"/>
    <w:pPr>
      <w:spacing w:before="0" w:after="200"/>
      <w:ind w:left="720"/>
      <w:contextualSpacing/>
    </w:pPr>
    <w:rPr/>
  </w:style>
  <w:style w:type="paragraph" w:styleId="NormalWeb">
    <w:name w:val="Normal (Web)"/>
    <w:basedOn w:val="Normal"/>
    <w:uiPriority w:val="99"/>
    <w:unhideWhenUsed/>
    <w:qFormat/>
    <w:rsid w:val="00621051"/>
    <w:pPr>
      <w:spacing w:beforeAutospacing="1" w:afterAutospacing="1"/>
    </w:pPr>
    <w:rPr>
      <w:rFonts w:ascii="Times New Roman" w:hAnsi="Times New Roman" w:eastAsia="Times New Roman" w:cs="Times New Roman"/>
      <w:lang w:eastAsia="it-IT"/>
    </w:rPr>
  </w:style>
  <w:style w:type="paragraph" w:styleId="Sommario11" w:customStyle="1">
    <w:name w:val="Sommario 11"/>
    <w:basedOn w:val="Normal"/>
    <w:autoRedefine/>
    <w:uiPriority w:val="39"/>
    <w:unhideWhenUsed/>
    <w:qFormat/>
    <w:rsid w:val="00140291"/>
    <w:pPr>
      <w:spacing w:before="360" w:after="0"/>
    </w:pPr>
    <w:rPr>
      <w:rFonts w:ascii="Calibri Light" w:hAnsi="Calibri Light" w:cs="Calibri Light" w:asciiTheme="majorHAnsi" w:cstheme="majorHAnsi" w:hAnsiTheme="majorHAnsi"/>
      <w:b/>
      <w:bCs/>
      <w:caps/>
    </w:rPr>
  </w:style>
  <w:style w:type="paragraph" w:styleId="Sommario21" w:customStyle="1">
    <w:name w:val="Sommario 21"/>
    <w:basedOn w:val="Normal"/>
    <w:autoRedefine/>
    <w:uiPriority w:val="39"/>
    <w:unhideWhenUsed/>
    <w:qFormat/>
    <w:rsid w:val="00140291"/>
    <w:pPr>
      <w:spacing w:before="240" w:after="0"/>
    </w:pPr>
    <w:rPr>
      <w:rFonts w:cs="Calibri" w:cstheme="minorHAnsi"/>
      <w:b/>
      <w:bCs/>
      <w:sz w:val="20"/>
      <w:szCs w:val="20"/>
    </w:rPr>
  </w:style>
  <w:style w:type="paragraph" w:styleId="Sommario31" w:customStyle="1">
    <w:name w:val="Sommario 31"/>
    <w:basedOn w:val="Normal"/>
    <w:autoRedefine/>
    <w:uiPriority w:val="39"/>
    <w:unhideWhenUsed/>
    <w:qFormat/>
    <w:rsid w:val="00140291"/>
    <w:pPr>
      <w:ind w:left="240"/>
    </w:pPr>
    <w:rPr>
      <w:rFonts w:cs="Calibri" w:cstheme="minorHAnsi"/>
      <w:sz w:val="20"/>
      <w:szCs w:val="20"/>
    </w:rPr>
  </w:style>
  <w:style w:type="paragraph" w:styleId="Sommario41" w:customStyle="1">
    <w:name w:val="Sommario 41"/>
    <w:basedOn w:val="Normal"/>
    <w:autoRedefine/>
    <w:uiPriority w:val="39"/>
    <w:unhideWhenUsed/>
    <w:qFormat/>
    <w:rsid w:val="00140291"/>
    <w:pPr>
      <w:ind w:left="480"/>
    </w:pPr>
    <w:rPr>
      <w:rFonts w:cs="Calibri" w:cstheme="minorHAnsi"/>
      <w:sz w:val="20"/>
      <w:szCs w:val="20"/>
    </w:rPr>
  </w:style>
  <w:style w:type="paragraph" w:styleId="Sommario51" w:customStyle="1">
    <w:name w:val="Sommario 51"/>
    <w:basedOn w:val="Normal"/>
    <w:autoRedefine/>
    <w:uiPriority w:val="39"/>
    <w:unhideWhenUsed/>
    <w:qFormat/>
    <w:rsid w:val="00140291"/>
    <w:pPr>
      <w:ind w:left="720"/>
    </w:pPr>
    <w:rPr>
      <w:rFonts w:cs="Calibri" w:cstheme="minorHAnsi"/>
      <w:sz w:val="20"/>
      <w:szCs w:val="20"/>
    </w:rPr>
  </w:style>
  <w:style w:type="paragraph" w:styleId="Sommario61" w:customStyle="1">
    <w:name w:val="Sommario 61"/>
    <w:basedOn w:val="Normal"/>
    <w:autoRedefine/>
    <w:uiPriority w:val="39"/>
    <w:unhideWhenUsed/>
    <w:qFormat/>
    <w:rsid w:val="00140291"/>
    <w:pPr>
      <w:ind w:left="960"/>
    </w:pPr>
    <w:rPr>
      <w:rFonts w:cs="Calibri" w:cstheme="minorHAnsi"/>
      <w:sz w:val="20"/>
      <w:szCs w:val="20"/>
    </w:rPr>
  </w:style>
  <w:style w:type="paragraph" w:styleId="Sommario71" w:customStyle="1">
    <w:name w:val="Sommario 71"/>
    <w:basedOn w:val="Normal"/>
    <w:autoRedefine/>
    <w:uiPriority w:val="39"/>
    <w:unhideWhenUsed/>
    <w:qFormat/>
    <w:rsid w:val="00140291"/>
    <w:pPr>
      <w:ind w:left="1200"/>
    </w:pPr>
    <w:rPr>
      <w:rFonts w:cs="Calibri" w:cstheme="minorHAnsi"/>
      <w:sz w:val="20"/>
      <w:szCs w:val="20"/>
    </w:rPr>
  </w:style>
  <w:style w:type="paragraph" w:styleId="Sommario81" w:customStyle="1">
    <w:name w:val="Sommario 81"/>
    <w:basedOn w:val="Normal"/>
    <w:autoRedefine/>
    <w:uiPriority w:val="39"/>
    <w:unhideWhenUsed/>
    <w:qFormat/>
    <w:rsid w:val="00140291"/>
    <w:pPr>
      <w:ind w:left="1440"/>
    </w:pPr>
    <w:rPr>
      <w:rFonts w:cs="Calibri" w:cstheme="minorHAnsi"/>
      <w:sz w:val="20"/>
      <w:szCs w:val="20"/>
    </w:rPr>
  </w:style>
  <w:style w:type="paragraph" w:styleId="Sommario91" w:customStyle="1">
    <w:name w:val="Sommario 91"/>
    <w:basedOn w:val="Normal"/>
    <w:autoRedefine/>
    <w:uiPriority w:val="39"/>
    <w:unhideWhenUsed/>
    <w:qFormat/>
    <w:rsid w:val="00140291"/>
    <w:pPr>
      <w:ind w:left="1680"/>
    </w:pPr>
    <w:rPr>
      <w:rFonts w:cs="Calibri" w:cstheme="minorHAnsi"/>
      <w:sz w:val="20"/>
      <w:szCs w:val="20"/>
    </w:rPr>
  </w:style>
  <w:style w:type="paragraph" w:styleId="Intestazioneepidipagina" w:customStyle="1">
    <w:name w:val="Intestazione e piè di pagina"/>
    <w:basedOn w:val="Normal"/>
    <w:qFormat/>
    <w:rsid w:val="00323ff4"/>
    <w:pPr/>
    <w:rPr/>
  </w:style>
  <w:style w:type="paragraph" w:styleId="Intestazione1" w:customStyle="1">
    <w:name w:val="Intestazione1"/>
    <w:basedOn w:val="Normal"/>
    <w:link w:val="IntestazioneCarattere"/>
    <w:uiPriority w:val="99"/>
    <w:unhideWhenUsed/>
    <w:qFormat/>
    <w:rsid w:val="00d8118d"/>
    <w:pPr>
      <w:tabs>
        <w:tab w:val="clear" w:pos="720"/>
        <w:tab w:val="center" w:pos="4819" w:leader="none"/>
        <w:tab w:val="right" w:pos="9638" w:leader="none"/>
      </w:tabs>
    </w:pPr>
    <w:rPr/>
  </w:style>
  <w:style w:type="paragraph" w:styleId="Pidipagina1" w:customStyle="1">
    <w:name w:val="Piè di pagina1"/>
    <w:basedOn w:val="Normal"/>
    <w:link w:val="PidipaginaCarattere"/>
    <w:uiPriority w:val="99"/>
    <w:unhideWhenUsed/>
    <w:qFormat/>
    <w:rsid w:val="00d8118d"/>
    <w:pPr>
      <w:tabs>
        <w:tab w:val="clear" w:pos="720"/>
        <w:tab w:val="center" w:pos="4819" w:leader="none"/>
        <w:tab w:val="right" w:pos="9638" w:leader="none"/>
      </w:tabs>
    </w:pPr>
    <w:rPr/>
  </w:style>
  <w:style w:type="paragraph" w:styleId="Default" w:customStyle="1">
    <w:name w:val="Default"/>
    <w:qFormat/>
    <w:rsid w:val="00d5174c"/>
    <w:pPr>
      <w:widowControl/>
      <w:suppressAutoHyphens w:val="true"/>
      <w:bidi w:val="0"/>
      <w:spacing w:before="0" w:after="0"/>
      <w:jc w:val="left"/>
    </w:pPr>
    <w:rPr>
      <w:rFonts w:ascii="Garamond" w:hAnsi="Garamond" w:eastAsia="Calibri" w:cs="Garamond"/>
      <w:color w:val="000000"/>
      <w:kern w:val="0"/>
      <w:sz w:val="24"/>
      <w:szCs w:val="24"/>
      <w:lang w:val="it-IT" w:eastAsia="en-US" w:bidi="ar-SA"/>
    </w:rPr>
  </w:style>
  <w:style w:type="paragraph" w:styleId="Normale1" w:customStyle="1">
    <w:name w:val="Normale1"/>
    <w:autoRedefine/>
    <w:qFormat/>
    <w:rsid w:val="00ba3a72"/>
    <w:pPr>
      <w:widowControl/>
      <w:suppressAutoHyphens w:val="true"/>
      <w:bidi w:val="0"/>
      <w:spacing w:lineRule="auto" w:line="276" w:before="0" w:after="200"/>
      <w:jc w:val="left"/>
    </w:pPr>
    <w:rPr>
      <w:rFonts w:ascii="Calibri" w:hAnsi="Calibri" w:eastAsia="Calibri" w:cs="Calibri"/>
      <w:color w:val="000000"/>
      <w:kern w:val="0"/>
      <w:sz w:val="22"/>
      <w:szCs w:val="22"/>
      <w:u w:val="none" w:color="000000"/>
      <w:lang w:val="it-IT" w:eastAsia="it-IT" w:bidi="ar-SA"/>
    </w:rPr>
  </w:style>
  <w:style w:type="paragraph" w:styleId="Standard" w:customStyle="1">
    <w:name w:val="Standard"/>
    <w:qFormat/>
    <w:rsid w:val="00723f28"/>
    <w:pPr>
      <w:widowControl/>
      <w:suppressAutoHyphens w:val="true"/>
      <w:bidi w:val="0"/>
      <w:spacing w:before="0" w:after="0"/>
      <w:jc w:val="left"/>
      <w:textAlignment w:val="baseline"/>
    </w:pPr>
    <w:rPr>
      <w:rFonts w:ascii="Times New Roman" w:hAnsi="Times New Roman" w:eastAsia="Times New Roman" w:cs="Times New Roman"/>
      <w:color w:val="00000A"/>
      <w:kern w:val="2"/>
      <w:sz w:val="24"/>
      <w:szCs w:val="24"/>
      <w:lang w:val="it-IT" w:eastAsia="zh-CN" w:bidi="ar-SA"/>
    </w:rPr>
  </w:style>
  <w:style w:type="paragraph" w:styleId="Contenutotabella" w:customStyle="1">
    <w:name w:val="Contenuto tabella"/>
    <w:basedOn w:val="Standard"/>
    <w:qFormat/>
    <w:rsid w:val="00723f28"/>
    <w:pPr>
      <w:suppressLineNumbers/>
    </w:pPr>
    <w:rPr/>
  </w:style>
  <w:style w:type="paragraph" w:styleId="Corpodeltesto21" w:customStyle="1">
    <w:name w:val="Corpo del testo 21"/>
    <w:basedOn w:val="Normal"/>
    <w:qFormat/>
    <w:rsid w:val="00343314"/>
    <w:pPr>
      <w:spacing w:lineRule="auto" w:line="360"/>
      <w:ind w:hanging="1276" w:left="1276"/>
      <w:jc w:val="both"/>
    </w:pPr>
    <w:rPr>
      <w:rFonts w:ascii="Arial" w:hAnsi="Arial" w:eastAsia="Times New Roman" w:cs="Times New Roman"/>
      <w:smallCaps/>
      <w:color w:val="000000"/>
      <w:sz w:val="22"/>
      <w:szCs w:val="20"/>
      <w:lang w:eastAsia="it-IT"/>
    </w:rPr>
  </w:style>
  <w:style w:type="paragraph" w:styleId="Style21" w:customStyle="1">
    <w:name w:val="Style 2"/>
    <w:basedOn w:val="Normal"/>
    <w:qFormat/>
    <w:rsid w:val="00f45798"/>
    <w:pPr>
      <w:widowControl w:val="false"/>
    </w:pPr>
    <w:rPr>
      <w:rFonts w:ascii="Arial" w:hAnsi="Arial" w:eastAsia="Times New Roman" w:cs="Times New Roman"/>
      <w:color w:val="000000"/>
      <w:sz w:val="20"/>
      <w:szCs w:val="20"/>
      <w:lang w:eastAsia="it-IT"/>
    </w:rPr>
  </w:style>
  <w:style w:type="paragraph" w:styleId="BodyText2">
    <w:name w:val="Body Text 2"/>
    <w:basedOn w:val="Normal"/>
    <w:link w:val="Corpodeltesto2Carattere"/>
    <w:qFormat/>
    <w:rsid w:val="0002254b"/>
    <w:pPr>
      <w:pBdr>
        <w:top w:val="single" w:sz="4" w:space="1" w:color="000001"/>
        <w:left w:val="single" w:sz="4" w:space="4" w:color="000001"/>
        <w:bottom w:val="single" w:sz="4" w:space="1" w:color="000001"/>
        <w:right w:val="single" w:sz="4" w:space="4" w:color="000001"/>
      </w:pBdr>
      <w:jc w:val="both"/>
    </w:pPr>
    <w:rPr>
      <w:rFonts w:ascii="Arial" w:hAnsi="Arial" w:eastAsia="Times New Roman" w:cs="Times New Roman"/>
      <w:b/>
      <w:color w:val="000000"/>
      <w:sz w:val="22"/>
      <w:szCs w:val="20"/>
      <w:lang w:eastAsia="it-IT"/>
    </w:rPr>
  </w:style>
  <w:style w:type="paragraph" w:styleId="Subtitle">
    <w:name w:val="Subtitle"/>
    <w:basedOn w:val="Normal"/>
    <w:link w:val="SottotitoloCarattere"/>
    <w:uiPriority w:val="11"/>
    <w:qFormat/>
    <w:rsid w:val="0002254b"/>
    <w:pPr>
      <w:jc w:val="center"/>
    </w:pPr>
    <w:rPr>
      <w:rFonts w:ascii="Arial" w:hAnsi="Arial" w:eastAsia="Times New Roman" w:cs="Times New Roman"/>
      <w:b/>
      <w:color w:val="000000"/>
      <w:sz w:val="22"/>
      <w:szCs w:val="20"/>
      <w:u w:val="single"/>
      <w:lang w:eastAsia="it-IT"/>
    </w:rPr>
  </w:style>
  <w:style w:type="paragraph" w:styleId="BodyText3">
    <w:name w:val="Body Text 3"/>
    <w:basedOn w:val="Normal"/>
    <w:link w:val="Corpodeltesto3Carattere"/>
    <w:qFormat/>
    <w:rsid w:val="0002254b"/>
    <w:pPr>
      <w:jc w:val="both"/>
    </w:pPr>
    <w:rPr>
      <w:rFonts w:ascii="Arial" w:hAnsi="Arial" w:eastAsia="Times New Roman" w:cs="Times New Roman"/>
      <w:color w:val="000000"/>
      <w:sz w:val="21"/>
      <w:szCs w:val="20"/>
      <w:lang w:eastAsia="it-IT"/>
    </w:rPr>
  </w:style>
  <w:style w:type="paragraph" w:styleId="Xl24" w:customStyle="1">
    <w:name w:val="xl24"/>
    <w:basedOn w:val="Normal"/>
    <w:qFormat/>
    <w:rsid w:val="0002254b"/>
    <w:pPr>
      <w:spacing w:beforeAutospacing="1" w:afterAutospacing="1"/>
      <w:jc w:val="center"/>
      <w:textAlignment w:val="center"/>
    </w:pPr>
    <w:rPr>
      <w:rFonts w:ascii="Arial Unicode MS" w:hAnsi="Arial Unicode MS" w:eastAsia="Arial Unicode MS" w:cs="Arial Unicode MS"/>
      <w:color w:val="000000"/>
      <w:sz w:val="22"/>
      <w:lang w:eastAsia="it-IT"/>
    </w:rPr>
  </w:style>
  <w:style w:type="paragraph" w:styleId="Xl25" w:customStyle="1">
    <w:name w:val="xl25"/>
    <w:basedOn w:val="Normal"/>
    <w:qFormat/>
    <w:rsid w:val="0002254b"/>
    <w:pPr>
      <w:spacing w:beforeAutospacing="1" w:afterAutospacing="1"/>
      <w:jc w:val="center"/>
      <w:textAlignment w:val="center"/>
    </w:pPr>
    <w:rPr>
      <w:rFonts w:ascii="Arial Unicode MS" w:hAnsi="Arial Unicode MS" w:eastAsia="Arial Unicode MS" w:cs="Arial Unicode MS"/>
      <w:color w:val="000000"/>
      <w:sz w:val="22"/>
      <w:lang w:eastAsia="it-IT"/>
    </w:rPr>
  </w:style>
  <w:style w:type="paragraph" w:styleId="Xl26" w:customStyle="1">
    <w:name w:val="xl26"/>
    <w:basedOn w:val="Normal"/>
    <w:qFormat/>
    <w:rsid w:val="0002254b"/>
    <w:pPr>
      <w:spacing w:beforeAutospacing="1" w:afterAutospacing="1"/>
      <w:textAlignment w:val="center"/>
    </w:pPr>
    <w:rPr>
      <w:rFonts w:ascii="Arial" w:hAnsi="Arial" w:eastAsia="Arial Unicode MS" w:cs="Arial"/>
      <w:color w:val="000000"/>
      <w:sz w:val="16"/>
      <w:szCs w:val="16"/>
      <w:lang w:eastAsia="it-IT"/>
    </w:rPr>
  </w:style>
  <w:style w:type="paragraph" w:styleId="Xl27" w:customStyle="1">
    <w:name w:val="xl27"/>
    <w:basedOn w:val="Normal"/>
    <w:qFormat/>
    <w:rsid w:val="0002254b"/>
    <w:pPr>
      <w:spacing w:beforeAutospacing="1" w:afterAutospacing="1"/>
      <w:textAlignment w:val="center"/>
    </w:pPr>
    <w:rPr>
      <w:rFonts w:ascii="Arial" w:hAnsi="Arial" w:eastAsia="Arial Unicode MS" w:cs="Arial"/>
      <w:b/>
      <w:bCs/>
      <w:color w:val="000000"/>
      <w:sz w:val="16"/>
      <w:szCs w:val="16"/>
      <w:lang w:eastAsia="it-IT"/>
    </w:rPr>
  </w:style>
  <w:style w:type="paragraph" w:styleId="Xl28" w:customStyle="1">
    <w:name w:val="xl28"/>
    <w:basedOn w:val="Normal"/>
    <w:qFormat/>
    <w:rsid w:val="0002254b"/>
    <w:pPr>
      <w:spacing w:beforeAutospacing="1" w:afterAutospacing="1"/>
      <w:jc w:val="right"/>
      <w:textAlignment w:val="center"/>
    </w:pPr>
    <w:rPr>
      <w:rFonts w:ascii="Arial Unicode MS" w:hAnsi="Arial Unicode MS" w:eastAsia="Arial Unicode MS" w:cs="Arial Unicode MS"/>
      <w:color w:val="000000"/>
      <w:sz w:val="22"/>
      <w:lang w:eastAsia="it-IT"/>
    </w:rPr>
  </w:style>
  <w:style w:type="paragraph" w:styleId="Xl29" w:customStyle="1">
    <w:name w:val="xl29"/>
    <w:basedOn w:val="Normal"/>
    <w:qFormat/>
    <w:rsid w:val="0002254b"/>
    <w:pPr>
      <w:spacing w:beforeAutospacing="1" w:afterAutospacing="1"/>
      <w:jc w:val="center"/>
      <w:textAlignment w:val="center"/>
    </w:pPr>
    <w:rPr>
      <w:rFonts w:ascii="Arial" w:hAnsi="Arial" w:eastAsia="Arial Unicode MS" w:cs="Arial"/>
      <w:b/>
      <w:bCs/>
      <w:color w:val="000000"/>
      <w:sz w:val="28"/>
      <w:szCs w:val="28"/>
      <w:lang w:eastAsia="it-IT"/>
    </w:rPr>
  </w:style>
  <w:style w:type="paragraph" w:styleId="Xl30" w:customStyle="1">
    <w:name w:val="xl30"/>
    <w:basedOn w:val="Normal"/>
    <w:qFormat/>
    <w:rsid w:val="0002254b"/>
    <w:pPr>
      <w:spacing w:beforeAutospacing="1" w:afterAutospacing="1"/>
      <w:textAlignment w:val="center"/>
    </w:pPr>
    <w:rPr>
      <w:rFonts w:ascii="Arial" w:hAnsi="Arial" w:eastAsia="Arial Unicode MS" w:cs="Arial"/>
      <w:color w:val="000000"/>
      <w:sz w:val="16"/>
      <w:szCs w:val="16"/>
      <w:lang w:eastAsia="it-IT"/>
    </w:rPr>
  </w:style>
  <w:style w:type="paragraph" w:styleId="Xl31" w:customStyle="1">
    <w:name w:val="xl31"/>
    <w:basedOn w:val="Normal"/>
    <w:qFormat/>
    <w:rsid w:val="0002254b"/>
    <w:pPr>
      <w:spacing w:beforeAutospacing="1" w:afterAutospacing="1"/>
      <w:textAlignment w:val="center"/>
    </w:pPr>
    <w:rPr>
      <w:rFonts w:ascii="Arial" w:hAnsi="Arial" w:eastAsia="Arial Unicode MS" w:cs="Arial"/>
      <w:b/>
      <w:bCs/>
      <w:color w:val="000000"/>
      <w:sz w:val="28"/>
      <w:szCs w:val="28"/>
      <w:lang w:eastAsia="it-IT"/>
    </w:rPr>
  </w:style>
  <w:style w:type="paragraph" w:styleId="Xl32" w:customStyle="1">
    <w:name w:val="xl32"/>
    <w:basedOn w:val="Normal"/>
    <w:qFormat/>
    <w:rsid w:val="0002254b"/>
    <w:pPr>
      <w:spacing w:beforeAutospacing="1" w:afterAutospacing="1"/>
      <w:jc w:val="center"/>
      <w:textAlignment w:val="center"/>
    </w:pPr>
    <w:rPr>
      <w:rFonts w:ascii="Arial" w:hAnsi="Arial" w:eastAsia="Arial Unicode MS" w:cs="Arial"/>
      <w:color w:val="000000"/>
      <w:sz w:val="22"/>
      <w:szCs w:val="22"/>
      <w:lang w:eastAsia="it-IT"/>
    </w:rPr>
  </w:style>
  <w:style w:type="paragraph" w:styleId="Xl33" w:customStyle="1">
    <w:name w:val="xl33"/>
    <w:basedOn w:val="Normal"/>
    <w:qFormat/>
    <w:rsid w:val="0002254b"/>
    <w:pPr>
      <w:spacing w:beforeAutospacing="1" w:afterAutospacing="1"/>
      <w:textAlignment w:val="center"/>
    </w:pPr>
    <w:rPr>
      <w:rFonts w:ascii="Arial" w:hAnsi="Arial" w:eastAsia="Arial Unicode MS" w:cs="Arial"/>
      <w:b/>
      <w:bCs/>
      <w:color w:val="000000"/>
      <w:sz w:val="28"/>
      <w:szCs w:val="28"/>
      <w:lang w:eastAsia="it-IT"/>
    </w:rPr>
  </w:style>
  <w:style w:type="paragraph" w:styleId="Xl34" w:customStyle="1">
    <w:name w:val="xl34"/>
    <w:basedOn w:val="Normal"/>
    <w:qFormat/>
    <w:rsid w:val="0002254b"/>
    <w:pPr>
      <w:spacing w:beforeAutospacing="1" w:afterAutospacing="1"/>
      <w:jc w:val="center"/>
      <w:textAlignment w:val="center"/>
    </w:pPr>
    <w:rPr>
      <w:rFonts w:ascii="Arial" w:hAnsi="Arial" w:eastAsia="Arial Unicode MS" w:cs="Arial"/>
      <w:b/>
      <w:bCs/>
      <w:color w:val="000000"/>
      <w:sz w:val="18"/>
      <w:szCs w:val="18"/>
      <w:lang w:eastAsia="it-IT"/>
    </w:rPr>
  </w:style>
  <w:style w:type="paragraph" w:styleId="Xl35" w:customStyle="1">
    <w:name w:val="xl35"/>
    <w:basedOn w:val="Normal"/>
    <w:qFormat/>
    <w:rsid w:val="0002254b"/>
    <w:pPr>
      <w:spacing w:beforeAutospacing="1" w:afterAutospacing="1"/>
      <w:jc w:val="center"/>
      <w:textAlignment w:val="center"/>
    </w:pPr>
    <w:rPr>
      <w:rFonts w:ascii="Arial" w:hAnsi="Arial" w:eastAsia="Arial Unicode MS" w:cs="Arial"/>
      <w:color w:val="000000"/>
      <w:sz w:val="18"/>
      <w:szCs w:val="18"/>
      <w:lang w:eastAsia="it-IT"/>
    </w:rPr>
  </w:style>
  <w:style w:type="paragraph" w:styleId="Xl36" w:customStyle="1">
    <w:name w:val="xl36"/>
    <w:basedOn w:val="Normal"/>
    <w:qFormat/>
    <w:rsid w:val="0002254b"/>
    <w:pPr>
      <w:spacing w:beforeAutospacing="1" w:afterAutospacing="1"/>
      <w:jc w:val="center"/>
      <w:textAlignment w:val="center"/>
    </w:pPr>
    <w:rPr>
      <w:rFonts w:ascii="Arial" w:hAnsi="Arial" w:eastAsia="Arial Unicode MS" w:cs="Arial"/>
      <w:color w:val="000000"/>
      <w:sz w:val="18"/>
      <w:szCs w:val="18"/>
      <w:lang w:eastAsia="it-IT"/>
    </w:rPr>
  </w:style>
  <w:style w:type="paragraph" w:styleId="Xl37" w:customStyle="1">
    <w:name w:val="xl37"/>
    <w:basedOn w:val="Normal"/>
    <w:qFormat/>
    <w:rsid w:val="0002254b"/>
    <w:pPr>
      <w:spacing w:beforeAutospacing="1" w:afterAutospacing="1"/>
      <w:jc w:val="right"/>
      <w:textAlignment w:val="center"/>
    </w:pPr>
    <w:rPr>
      <w:rFonts w:ascii="Arial" w:hAnsi="Arial" w:eastAsia="Arial Unicode MS" w:cs="Arial"/>
      <w:color w:val="000000"/>
      <w:sz w:val="18"/>
      <w:szCs w:val="18"/>
      <w:lang w:eastAsia="it-IT"/>
    </w:rPr>
  </w:style>
  <w:style w:type="paragraph" w:styleId="Xl38" w:customStyle="1">
    <w:name w:val="xl38"/>
    <w:basedOn w:val="Normal"/>
    <w:qFormat/>
    <w:rsid w:val="0002254b"/>
    <w:pPr>
      <w:spacing w:beforeAutospacing="1" w:afterAutospacing="1"/>
      <w:textAlignment w:val="center"/>
    </w:pPr>
    <w:rPr>
      <w:rFonts w:ascii="Arial" w:hAnsi="Arial" w:eastAsia="Arial Unicode MS" w:cs="Arial"/>
      <w:color w:val="000000"/>
      <w:sz w:val="14"/>
      <w:szCs w:val="14"/>
      <w:lang w:eastAsia="it-IT"/>
    </w:rPr>
  </w:style>
  <w:style w:type="paragraph" w:styleId="Xl39" w:customStyle="1">
    <w:name w:val="xl39"/>
    <w:basedOn w:val="Normal"/>
    <w:qFormat/>
    <w:rsid w:val="0002254b"/>
    <w:pPr>
      <w:spacing w:beforeAutospacing="1" w:afterAutospacing="1"/>
      <w:jc w:val="center"/>
      <w:textAlignment w:val="center"/>
    </w:pPr>
    <w:rPr>
      <w:rFonts w:ascii="Arial" w:hAnsi="Arial" w:eastAsia="Arial Unicode MS" w:cs="Arial"/>
      <w:b/>
      <w:bCs/>
      <w:color w:val="000000"/>
      <w:sz w:val="16"/>
      <w:szCs w:val="16"/>
      <w:lang w:eastAsia="it-IT"/>
    </w:rPr>
  </w:style>
  <w:style w:type="paragraph" w:styleId="Xl40" w:customStyle="1">
    <w:name w:val="xl40"/>
    <w:basedOn w:val="Normal"/>
    <w:qFormat/>
    <w:rsid w:val="0002254b"/>
    <w:pPr>
      <w:spacing w:beforeAutospacing="1" w:afterAutospacing="1"/>
      <w:jc w:val="center"/>
      <w:textAlignment w:val="center"/>
    </w:pPr>
    <w:rPr>
      <w:rFonts w:ascii="Arial" w:hAnsi="Arial" w:eastAsia="Arial Unicode MS" w:cs="Arial"/>
      <w:b/>
      <w:bCs/>
      <w:color w:val="000000"/>
      <w:sz w:val="16"/>
      <w:szCs w:val="16"/>
      <w:lang w:eastAsia="it-IT"/>
    </w:rPr>
  </w:style>
  <w:style w:type="paragraph" w:styleId="Xl41" w:customStyle="1">
    <w:name w:val="xl41"/>
    <w:basedOn w:val="Normal"/>
    <w:qFormat/>
    <w:rsid w:val="0002254b"/>
    <w:pPr>
      <w:spacing w:beforeAutospacing="1" w:afterAutospacing="1"/>
      <w:jc w:val="right"/>
      <w:textAlignment w:val="center"/>
    </w:pPr>
    <w:rPr>
      <w:rFonts w:ascii="Arial" w:hAnsi="Arial" w:eastAsia="Arial Unicode MS" w:cs="Arial"/>
      <w:b/>
      <w:bCs/>
      <w:color w:val="000000"/>
      <w:sz w:val="18"/>
      <w:szCs w:val="18"/>
      <w:lang w:eastAsia="it-IT"/>
    </w:rPr>
  </w:style>
  <w:style w:type="paragraph" w:styleId="Xl42" w:customStyle="1">
    <w:name w:val="xl42"/>
    <w:basedOn w:val="Normal"/>
    <w:qFormat/>
    <w:rsid w:val="0002254b"/>
    <w:pPr>
      <w:spacing w:beforeAutospacing="1" w:afterAutospacing="1"/>
      <w:textAlignment w:val="center"/>
    </w:pPr>
    <w:rPr>
      <w:rFonts w:ascii="Arial" w:hAnsi="Arial" w:eastAsia="Arial Unicode MS" w:cs="Arial"/>
      <w:b/>
      <w:bCs/>
      <w:color w:val="000000"/>
      <w:sz w:val="22"/>
      <w:lang w:eastAsia="it-IT"/>
    </w:rPr>
  </w:style>
  <w:style w:type="paragraph" w:styleId="Xl43" w:customStyle="1">
    <w:name w:val="xl43"/>
    <w:basedOn w:val="Normal"/>
    <w:qFormat/>
    <w:rsid w:val="0002254b"/>
    <w:pPr>
      <w:spacing w:beforeAutospacing="1" w:afterAutospacing="1"/>
      <w:textAlignment w:val="center"/>
    </w:pPr>
    <w:rPr>
      <w:rFonts w:ascii="Arial" w:hAnsi="Arial" w:eastAsia="Arial Unicode MS" w:cs="Arial"/>
      <w:b/>
      <w:bCs/>
      <w:color w:val="000000"/>
      <w:sz w:val="22"/>
      <w:lang w:eastAsia="it-IT"/>
    </w:rPr>
  </w:style>
  <w:style w:type="paragraph" w:styleId="Xl44" w:customStyle="1">
    <w:name w:val="xl44"/>
    <w:basedOn w:val="Normal"/>
    <w:qFormat/>
    <w:rsid w:val="0002254b"/>
    <w:pPr>
      <w:spacing w:beforeAutospacing="1" w:afterAutospacing="1"/>
      <w:textAlignment w:val="center"/>
    </w:pPr>
    <w:rPr>
      <w:rFonts w:ascii="Arial" w:hAnsi="Arial" w:eastAsia="Arial Unicode MS" w:cs="Arial"/>
      <w:b/>
      <w:bCs/>
      <w:color w:val="000000"/>
      <w:sz w:val="22"/>
      <w:lang w:eastAsia="it-IT"/>
    </w:rPr>
  </w:style>
  <w:style w:type="paragraph" w:styleId="Xl45" w:customStyle="1">
    <w:name w:val="xl45"/>
    <w:basedOn w:val="Normal"/>
    <w:qFormat/>
    <w:rsid w:val="0002254b"/>
    <w:pPr>
      <w:spacing w:beforeAutospacing="1" w:afterAutospacing="1"/>
      <w:jc w:val="right"/>
      <w:textAlignment w:val="center"/>
    </w:pPr>
    <w:rPr>
      <w:rFonts w:ascii="Arial" w:hAnsi="Arial" w:eastAsia="Arial Unicode MS" w:cs="Arial"/>
      <w:b/>
      <w:bCs/>
      <w:color w:val="000000"/>
      <w:sz w:val="22"/>
      <w:szCs w:val="22"/>
      <w:lang w:eastAsia="it-IT"/>
    </w:rPr>
  </w:style>
  <w:style w:type="paragraph" w:styleId="NormaleArial" w:customStyle="1">
    <w:name w:val="Normale + Arial"/>
    <w:basedOn w:val="Pidipagina1"/>
    <w:qFormat/>
    <w:rsid w:val="0002254b"/>
    <w:pPr>
      <w:tabs>
        <w:tab w:val="left" w:pos="357" w:leader="none"/>
        <w:tab w:val="center" w:pos="4819" w:leader="none"/>
        <w:tab w:val="right" w:pos="9638" w:leader="none"/>
      </w:tabs>
      <w:ind w:hanging="357" w:left="357"/>
      <w:jc w:val="both"/>
    </w:pPr>
    <w:rPr>
      <w:rFonts w:ascii="Arial" w:hAnsi="Arial" w:eastAsia="Times New Roman" w:cs="Arial"/>
      <w:b/>
      <w:smallCaps/>
      <w:color w:val="000000"/>
      <w:sz w:val="22"/>
      <w:szCs w:val="22"/>
      <w:lang w:eastAsia="it-IT"/>
    </w:rPr>
  </w:style>
  <w:style w:type="paragraph" w:styleId="Xl46" w:customStyle="1">
    <w:name w:val="xl46"/>
    <w:basedOn w:val="Normal"/>
    <w:qFormat/>
    <w:rsid w:val="0002254b"/>
    <w:pPr>
      <w:spacing w:beforeAutospacing="1" w:afterAutospacing="1"/>
      <w:jc w:val="center"/>
      <w:textAlignment w:val="center"/>
    </w:pPr>
    <w:rPr>
      <w:rFonts w:ascii="Arial" w:hAnsi="Arial" w:eastAsia="Arial Unicode MS" w:cs="Arial"/>
      <w:color w:val="000000"/>
      <w:sz w:val="18"/>
      <w:szCs w:val="18"/>
      <w:lang w:eastAsia="it-IT"/>
    </w:rPr>
  </w:style>
  <w:style w:type="paragraph" w:styleId="Xl47" w:customStyle="1">
    <w:name w:val="xl47"/>
    <w:basedOn w:val="Normal"/>
    <w:qFormat/>
    <w:rsid w:val="0002254b"/>
    <w:pPr>
      <w:spacing w:beforeAutospacing="1" w:afterAutospacing="1"/>
      <w:jc w:val="right"/>
      <w:textAlignment w:val="center"/>
    </w:pPr>
    <w:rPr>
      <w:rFonts w:ascii="Arial" w:hAnsi="Arial" w:eastAsia="Arial Unicode MS" w:cs="Arial"/>
      <w:b/>
      <w:bCs/>
      <w:color w:val="000000"/>
      <w:sz w:val="18"/>
      <w:szCs w:val="18"/>
      <w:lang w:eastAsia="it-IT"/>
    </w:rPr>
  </w:style>
  <w:style w:type="paragraph" w:styleId="Xl48" w:customStyle="1">
    <w:name w:val="xl48"/>
    <w:basedOn w:val="Normal"/>
    <w:qFormat/>
    <w:rsid w:val="0002254b"/>
    <w:pPr>
      <w:spacing w:beforeAutospacing="1" w:afterAutospacing="1"/>
      <w:textAlignment w:val="center"/>
    </w:pPr>
    <w:rPr>
      <w:rFonts w:ascii="Arial" w:hAnsi="Arial" w:eastAsia="Arial Unicode MS" w:cs="Arial"/>
      <w:b/>
      <w:bCs/>
      <w:color w:val="000000"/>
      <w:sz w:val="16"/>
      <w:szCs w:val="16"/>
      <w:lang w:eastAsia="it-IT"/>
    </w:rPr>
  </w:style>
  <w:style w:type="paragraph" w:styleId="Xl49" w:customStyle="1">
    <w:name w:val="xl49"/>
    <w:basedOn w:val="Normal"/>
    <w:qFormat/>
    <w:rsid w:val="0002254b"/>
    <w:pPr>
      <w:spacing w:beforeAutospacing="1" w:afterAutospacing="1"/>
      <w:textAlignment w:val="center"/>
    </w:pPr>
    <w:rPr>
      <w:rFonts w:ascii="Arial" w:hAnsi="Arial" w:eastAsia="Arial Unicode MS" w:cs="Arial"/>
      <w:color w:val="000000"/>
      <w:sz w:val="16"/>
      <w:szCs w:val="16"/>
      <w:lang w:eastAsia="it-IT"/>
    </w:rPr>
  </w:style>
  <w:style w:type="paragraph" w:styleId="Xl50" w:customStyle="1">
    <w:name w:val="xl50"/>
    <w:basedOn w:val="Normal"/>
    <w:qFormat/>
    <w:rsid w:val="0002254b"/>
    <w:pPr>
      <w:spacing w:beforeAutospacing="1" w:afterAutospacing="1"/>
      <w:jc w:val="right"/>
      <w:textAlignment w:val="center"/>
    </w:pPr>
    <w:rPr>
      <w:rFonts w:ascii="Arial" w:hAnsi="Arial" w:eastAsia="Arial Unicode MS" w:cs="Arial"/>
      <w:color w:val="000000"/>
      <w:sz w:val="18"/>
      <w:szCs w:val="18"/>
      <w:lang w:eastAsia="it-IT"/>
    </w:rPr>
  </w:style>
  <w:style w:type="paragraph" w:styleId="Xl51" w:customStyle="1">
    <w:name w:val="xl51"/>
    <w:basedOn w:val="Normal"/>
    <w:qFormat/>
    <w:rsid w:val="0002254b"/>
    <w:pPr>
      <w:spacing w:beforeAutospacing="1" w:afterAutospacing="1"/>
      <w:jc w:val="right"/>
      <w:textAlignment w:val="center"/>
    </w:pPr>
    <w:rPr>
      <w:rFonts w:ascii="Arial" w:hAnsi="Arial" w:eastAsia="Arial Unicode MS" w:cs="Arial"/>
      <w:b/>
      <w:bCs/>
      <w:color w:val="000000"/>
      <w:sz w:val="22"/>
      <w:szCs w:val="22"/>
      <w:lang w:eastAsia="it-IT"/>
    </w:rPr>
  </w:style>
  <w:style w:type="paragraph" w:styleId="Xl52" w:customStyle="1">
    <w:name w:val="xl52"/>
    <w:basedOn w:val="Normal"/>
    <w:qFormat/>
    <w:rsid w:val="0002254b"/>
    <w:pPr>
      <w:spacing w:beforeAutospacing="1" w:afterAutospacing="1"/>
      <w:textAlignment w:val="center"/>
    </w:pPr>
    <w:rPr>
      <w:rFonts w:ascii="Arial" w:hAnsi="Arial" w:eastAsia="Arial Unicode MS" w:cs="Arial"/>
      <w:b/>
      <w:bCs/>
      <w:color w:val="000000"/>
      <w:sz w:val="16"/>
      <w:szCs w:val="16"/>
      <w:lang w:eastAsia="it-IT"/>
    </w:rPr>
  </w:style>
  <w:style w:type="paragraph" w:styleId="Xl53" w:customStyle="1">
    <w:name w:val="xl53"/>
    <w:basedOn w:val="Normal"/>
    <w:qFormat/>
    <w:rsid w:val="0002254b"/>
    <w:pPr>
      <w:spacing w:beforeAutospacing="1" w:afterAutospacing="1"/>
      <w:jc w:val="center"/>
      <w:textAlignment w:val="center"/>
    </w:pPr>
    <w:rPr>
      <w:rFonts w:ascii="Arial" w:hAnsi="Arial" w:eastAsia="Arial Unicode MS" w:cs="Arial"/>
      <w:b/>
      <w:bCs/>
      <w:color w:val="000000"/>
      <w:sz w:val="18"/>
      <w:szCs w:val="18"/>
      <w:lang w:eastAsia="it-IT"/>
    </w:rPr>
  </w:style>
  <w:style w:type="paragraph" w:styleId="Xl54" w:customStyle="1">
    <w:name w:val="xl54"/>
    <w:basedOn w:val="Normal"/>
    <w:qFormat/>
    <w:rsid w:val="0002254b"/>
    <w:pPr>
      <w:spacing w:beforeAutospacing="1" w:afterAutospacing="1"/>
      <w:textAlignment w:val="center"/>
    </w:pPr>
    <w:rPr>
      <w:rFonts w:ascii="Arial" w:hAnsi="Arial" w:eastAsia="Arial Unicode MS" w:cs="Arial"/>
      <w:color w:val="000000"/>
      <w:sz w:val="16"/>
      <w:szCs w:val="16"/>
      <w:lang w:eastAsia="it-IT"/>
    </w:rPr>
  </w:style>
  <w:style w:type="paragraph" w:styleId="Xl55" w:customStyle="1">
    <w:name w:val="xl55"/>
    <w:basedOn w:val="Normal"/>
    <w:qFormat/>
    <w:rsid w:val="0002254b"/>
    <w:pPr>
      <w:spacing w:beforeAutospacing="1" w:afterAutospacing="1"/>
      <w:jc w:val="right"/>
      <w:textAlignment w:val="center"/>
    </w:pPr>
    <w:rPr>
      <w:rFonts w:ascii="Arial" w:hAnsi="Arial" w:eastAsia="Arial Unicode MS" w:cs="Arial"/>
      <w:b/>
      <w:bCs/>
      <w:color w:val="000000"/>
      <w:sz w:val="22"/>
      <w:szCs w:val="22"/>
      <w:lang w:eastAsia="it-IT"/>
    </w:rPr>
  </w:style>
  <w:style w:type="paragraph" w:styleId="BalloonText">
    <w:name w:val="Balloon Text"/>
    <w:basedOn w:val="Normal"/>
    <w:link w:val="TestofumettoCarattere"/>
    <w:qFormat/>
    <w:rsid w:val="0002254b"/>
    <w:pPr>
      <w:jc w:val="both"/>
    </w:pPr>
    <w:rPr>
      <w:rFonts w:ascii="Tahoma" w:hAnsi="Tahoma" w:eastAsia="Times New Roman" w:cs="Tahoma"/>
      <w:color w:val="000000"/>
      <w:sz w:val="16"/>
      <w:szCs w:val="16"/>
      <w:lang w:eastAsia="it-IT"/>
    </w:rPr>
  </w:style>
  <w:style w:type="paragraph" w:styleId="Xl65" w:customStyle="1">
    <w:name w:val="xl65"/>
    <w:basedOn w:val="Normal"/>
    <w:qFormat/>
    <w:rsid w:val="0002254b"/>
    <w:pPr>
      <w:spacing w:beforeAutospacing="1" w:afterAutospacing="1"/>
      <w:textAlignment w:val="center"/>
    </w:pPr>
    <w:rPr>
      <w:rFonts w:ascii="Arial" w:hAnsi="Arial" w:eastAsia="Times New Roman" w:cs="Times New Roman"/>
      <w:color w:val="000000"/>
      <w:sz w:val="22"/>
      <w:lang w:eastAsia="it-IT"/>
    </w:rPr>
  </w:style>
  <w:style w:type="paragraph" w:styleId="Xl66" w:customStyle="1">
    <w:name w:val="xl66"/>
    <w:basedOn w:val="Normal"/>
    <w:qFormat/>
    <w:rsid w:val="0002254b"/>
    <w:pPr>
      <w:spacing w:beforeAutospacing="1" w:afterAutospacing="1"/>
      <w:textAlignment w:val="center"/>
    </w:pPr>
    <w:rPr>
      <w:rFonts w:ascii="Arial" w:hAnsi="Arial" w:eastAsia="Times New Roman" w:cs="Arial"/>
      <w:color w:val="000000"/>
      <w:sz w:val="14"/>
      <w:szCs w:val="14"/>
      <w:lang w:eastAsia="it-IT"/>
    </w:rPr>
  </w:style>
  <w:style w:type="paragraph" w:styleId="Xl67" w:customStyle="1">
    <w:name w:val="xl67"/>
    <w:basedOn w:val="Normal"/>
    <w:qFormat/>
    <w:rsid w:val="0002254b"/>
    <w:pPr>
      <w:spacing w:beforeAutospacing="1" w:afterAutospacing="1"/>
      <w:textAlignment w:val="center"/>
    </w:pPr>
    <w:rPr>
      <w:rFonts w:ascii="Arial" w:hAnsi="Arial" w:eastAsia="Times New Roman" w:cs="Arial"/>
      <w:color w:val="000000"/>
      <w:sz w:val="16"/>
      <w:szCs w:val="16"/>
      <w:lang w:eastAsia="it-IT"/>
    </w:rPr>
  </w:style>
  <w:style w:type="paragraph" w:styleId="Xl68" w:customStyle="1">
    <w:name w:val="xl68"/>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69" w:customStyle="1">
    <w:name w:val="xl69"/>
    <w:basedOn w:val="Normal"/>
    <w:qFormat/>
    <w:rsid w:val="0002254b"/>
    <w:pPr>
      <w:spacing w:beforeAutospacing="1" w:afterAutospacing="1"/>
      <w:jc w:val="center"/>
      <w:textAlignment w:val="center"/>
    </w:pPr>
    <w:rPr>
      <w:rFonts w:ascii="Arial" w:hAnsi="Arial" w:eastAsia="Times New Roman" w:cs="Arial"/>
      <w:color w:val="000000"/>
      <w:sz w:val="20"/>
      <w:szCs w:val="20"/>
      <w:lang w:eastAsia="it-IT"/>
    </w:rPr>
  </w:style>
  <w:style w:type="paragraph" w:styleId="Xl70" w:customStyle="1">
    <w:name w:val="xl70"/>
    <w:basedOn w:val="Normal"/>
    <w:qFormat/>
    <w:rsid w:val="0002254b"/>
    <w:pPr>
      <w:spacing w:beforeAutospacing="1" w:afterAutospacing="1"/>
      <w:textAlignment w:val="center"/>
    </w:pPr>
    <w:rPr>
      <w:rFonts w:ascii="Arial" w:hAnsi="Arial" w:eastAsia="Times New Roman" w:cs="Arial"/>
      <w:b/>
      <w:bCs/>
      <w:color w:val="000000"/>
      <w:sz w:val="18"/>
      <w:szCs w:val="18"/>
      <w:lang w:eastAsia="it-IT"/>
    </w:rPr>
  </w:style>
  <w:style w:type="paragraph" w:styleId="Xl71" w:customStyle="1">
    <w:name w:val="xl71"/>
    <w:basedOn w:val="Normal"/>
    <w:qFormat/>
    <w:rsid w:val="0002254b"/>
    <w:pPr>
      <w:spacing w:beforeAutospacing="1" w:afterAutospacing="1"/>
    </w:pPr>
    <w:rPr>
      <w:rFonts w:ascii="Arial" w:hAnsi="Arial" w:eastAsia="Times New Roman" w:cs="Arial"/>
      <w:color w:val="000000"/>
      <w:sz w:val="20"/>
      <w:szCs w:val="20"/>
      <w:lang w:eastAsia="it-IT"/>
    </w:rPr>
  </w:style>
  <w:style w:type="paragraph" w:styleId="Xl72" w:customStyle="1">
    <w:name w:val="xl72"/>
    <w:basedOn w:val="Normal"/>
    <w:qFormat/>
    <w:rsid w:val="0002254b"/>
    <w:pPr>
      <w:spacing w:beforeAutospacing="1" w:afterAutospacing="1"/>
      <w:textAlignment w:val="center"/>
    </w:pPr>
    <w:rPr>
      <w:rFonts w:ascii="Arial" w:hAnsi="Arial" w:eastAsia="Times New Roman" w:cs="Arial"/>
      <w:b/>
      <w:bCs/>
      <w:color w:val="000000"/>
      <w:sz w:val="22"/>
      <w:u w:val="single"/>
      <w:lang w:eastAsia="it-IT"/>
    </w:rPr>
  </w:style>
  <w:style w:type="paragraph" w:styleId="Xl73" w:customStyle="1">
    <w:name w:val="xl73"/>
    <w:basedOn w:val="Normal"/>
    <w:qFormat/>
    <w:rsid w:val="0002254b"/>
    <w:pPr>
      <w:spacing w:beforeAutospacing="1" w:afterAutospacing="1"/>
      <w:jc w:val="center"/>
    </w:pPr>
    <w:rPr>
      <w:rFonts w:ascii="Arial" w:hAnsi="Arial" w:eastAsia="Times New Roman" w:cs="Arial"/>
      <w:color w:val="000000"/>
      <w:sz w:val="20"/>
      <w:szCs w:val="20"/>
      <w:lang w:eastAsia="it-IT"/>
    </w:rPr>
  </w:style>
  <w:style w:type="paragraph" w:styleId="Xl74" w:customStyle="1">
    <w:name w:val="xl74"/>
    <w:basedOn w:val="Normal"/>
    <w:qFormat/>
    <w:rsid w:val="0002254b"/>
    <w:pPr>
      <w:spacing w:beforeAutospacing="1" w:afterAutospacing="1"/>
      <w:textAlignment w:val="center"/>
    </w:pPr>
    <w:rPr>
      <w:rFonts w:ascii="Arial" w:hAnsi="Arial" w:eastAsia="Times New Roman" w:cs="Arial"/>
      <w:b/>
      <w:bCs/>
      <w:color w:val="000000"/>
      <w:sz w:val="20"/>
      <w:szCs w:val="20"/>
      <w:lang w:eastAsia="it-IT"/>
    </w:rPr>
  </w:style>
  <w:style w:type="paragraph" w:styleId="Xl75" w:customStyle="1">
    <w:name w:val="xl75"/>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76" w:customStyle="1">
    <w:name w:val="xl76"/>
    <w:basedOn w:val="Normal"/>
    <w:qFormat/>
    <w:rsid w:val="0002254b"/>
    <w:pPr>
      <w:spacing w:beforeAutospacing="1" w:afterAutospacing="1"/>
      <w:jc w:val="center"/>
      <w:textAlignment w:val="center"/>
    </w:pPr>
    <w:rPr>
      <w:rFonts w:ascii="Arial" w:hAnsi="Arial" w:eastAsia="Times New Roman" w:cs="Arial"/>
      <w:b/>
      <w:bCs/>
      <w:color w:val="000000"/>
      <w:sz w:val="28"/>
      <w:szCs w:val="28"/>
      <w:lang w:eastAsia="it-IT"/>
    </w:rPr>
  </w:style>
  <w:style w:type="paragraph" w:styleId="Xl77" w:customStyle="1">
    <w:name w:val="xl77"/>
    <w:basedOn w:val="Normal"/>
    <w:qFormat/>
    <w:rsid w:val="0002254b"/>
    <w:pPr>
      <w:spacing w:beforeAutospacing="1" w:afterAutospacing="1"/>
      <w:jc w:val="center"/>
      <w:textAlignment w:val="center"/>
    </w:pPr>
    <w:rPr>
      <w:rFonts w:ascii="Arial" w:hAnsi="Arial" w:eastAsia="Times New Roman" w:cs="Arial"/>
      <w:color w:val="000000"/>
      <w:sz w:val="20"/>
      <w:szCs w:val="20"/>
      <w:lang w:eastAsia="it-IT"/>
    </w:rPr>
  </w:style>
  <w:style w:type="paragraph" w:styleId="Xl78" w:customStyle="1">
    <w:name w:val="xl78"/>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79" w:customStyle="1">
    <w:name w:val="xl79"/>
    <w:basedOn w:val="Normal"/>
    <w:qFormat/>
    <w:rsid w:val="0002254b"/>
    <w:pPr>
      <w:spacing w:beforeAutospacing="1" w:afterAutospacing="1"/>
      <w:jc w:val="center"/>
      <w:textAlignment w:val="center"/>
    </w:pPr>
    <w:rPr>
      <w:rFonts w:ascii="Arial" w:hAnsi="Arial" w:eastAsia="Times New Roman" w:cs="Arial"/>
      <w:b/>
      <w:bCs/>
      <w:color w:val="000000"/>
      <w:sz w:val="16"/>
      <w:szCs w:val="16"/>
      <w:lang w:eastAsia="it-IT"/>
    </w:rPr>
  </w:style>
  <w:style w:type="paragraph" w:styleId="Xl80" w:customStyle="1">
    <w:name w:val="xl80"/>
    <w:basedOn w:val="Normal"/>
    <w:qFormat/>
    <w:rsid w:val="0002254b"/>
    <w:pPr>
      <w:spacing w:beforeAutospacing="1" w:afterAutospacing="1"/>
      <w:textAlignment w:val="center"/>
    </w:pPr>
    <w:rPr>
      <w:rFonts w:ascii="Arial" w:hAnsi="Arial" w:eastAsia="Times New Roman" w:cs="Arial"/>
      <w:b/>
      <w:bCs/>
      <w:color w:val="000000"/>
      <w:sz w:val="16"/>
      <w:szCs w:val="16"/>
      <w:lang w:eastAsia="it-IT"/>
    </w:rPr>
  </w:style>
  <w:style w:type="paragraph" w:styleId="Xl81" w:customStyle="1">
    <w:name w:val="xl81"/>
    <w:basedOn w:val="Normal"/>
    <w:qFormat/>
    <w:rsid w:val="0002254b"/>
    <w:pPr>
      <w:spacing w:beforeAutospacing="1" w:afterAutospacing="1"/>
      <w:jc w:val="center"/>
      <w:textAlignment w:val="center"/>
    </w:pPr>
    <w:rPr>
      <w:rFonts w:ascii="Arial" w:hAnsi="Arial" w:eastAsia="Times New Roman" w:cs="Arial"/>
      <w:b/>
      <w:bCs/>
      <w:color w:val="000000"/>
      <w:sz w:val="16"/>
      <w:szCs w:val="16"/>
      <w:lang w:eastAsia="it-IT"/>
    </w:rPr>
  </w:style>
  <w:style w:type="paragraph" w:styleId="Xl82" w:customStyle="1">
    <w:name w:val="xl82"/>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83" w:customStyle="1">
    <w:name w:val="xl83"/>
    <w:basedOn w:val="Normal"/>
    <w:qFormat/>
    <w:rsid w:val="0002254b"/>
    <w:pPr>
      <w:spacing w:beforeAutospacing="1" w:afterAutospacing="1"/>
      <w:jc w:val="center"/>
      <w:textAlignment w:val="center"/>
    </w:pPr>
    <w:rPr>
      <w:rFonts w:ascii="Arial" w:hAnsi="Arial" w:eastAsia="Times New Roman" w:cs="Arial"/>
      <w:b/>
      <w:bCs/>
      <w:color w:val="000000"/>
      <w:sz w:val="18"/>
      <w:szCs w:val="18"/>
      <w:lang w:eastAsia="it-IT"/>
    </w:rPr>
  </w:style>
  <w:style w:type="paragraph" w:styleId="Xl84" w:customStyle="1">
    <w:name w:val="xl84"/>
    <w:basedOn w:val="Normal"/>
    <w:qFormat/>
    <w:rsid w:val="0002254b"/>
    <w:pPr>
      <w:spacing w:beforeAutospacing="1" w:afterAutospacing="1"/>
      <w:textAlignment w:val="center"/>
    </w:pPr>
    <w:rPr>
      <w:rFonts w:ascii="Arial" w:hAnsi="Arial" w:eastAsia="Times New Roman" w:cs="Arial"/>
      <w:color w:val="000000"/>
      <w:sz w:val="16"/>
      <w:szCs w:val="16"/>
      <w:lang w:eastAsia="it-IT"/>
    </w:rPr>
  </w:style>
  <w:style w:type="paragraph" w:styleId="Xl85" w:customStyle="1">
    <w:name w:val="xl85"/>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86" w:customStyle="1">
    <w:name w:val="xl86"/>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87" w:customStyle="1">
    <w:name w:val="xl87"/>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88" w:customStyle="1">
    <w:name w:val="xl88"/>
    <w:basedOn w:val="Normal"/>
    <w:qFormat/>
    <w:rsid w:val="0002254b"/>
    <w:pPr>
      <w:spacing w:beforeAutospacing="1" w:afterAutospacing="1"/>
      <w:jc w:val="right"/>
      <w:textAlignment w:val="center"/>
    </w:pPr>
    <w:rPr>
      <w:rFonts w:ascii="Arial" w:hAnsi="Arial" w:eastAsia="Times New Roman" w:cs="Arial"/>
      <w:color w:val="000000"/>
      <w:sz w:val="16"/>
      <w:szCs w:val="16"/>
      <w:lang w:eastAsia="it-IT"/>
    </w:rPr>
  </w:style>
  <w:style w:type="paragraph" w:styleId="Xl89" w:customStyle="1">
    <w:name w:val="xl89"/>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90" w:customStyle="1">
    <w:name w:val="xl90"/>
    <w:basedOn w:val="Normal"/>
    <w:qFormat/>
    <w:rsid w:val="0002254b"/>
    <w:pPr>
      <w:spacing w:beforeAutospacing="1" w:afterAutospacing="1"/>
      <w:textAlignment w:val="center"/>
    </w:pPr>
    <w:rPr>
      <w:rFonts w:ascii="Arial" w:hAnsi="Arial" w:eastAsia="Times New Roman" w:cs="Arial"/>
      <w:b/>
      <w:bCs/>
      <w:color w:val="000000"/>
      <w:sz w:val="16"/>
      <w:szCs w:val="16"/>
      <w:lang w:eastAsia="it-IT"/>
    </w:rPr>
  </w:style>
  <w:style w:type="paragraph" w:styleId="Xl91" w:customStyle="1">
    <w:name w:val="xl91"/>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92" w:customStyle="1">
    <w:name w:val="xl92"/>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93" w:customStyle="1">
    <w:name w:val="xl93"/>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94" w:customStyle="1">
    <w:name w:val="xl94"/>
    <w:basedOn w:val="Normal"/>
    <w:qFormat/>
    <w:rsid w:val="0002254b"/>
    <w:pPr>
      <w:spacing w:beforeAutospacing="1" w:afterAutospacing="1"/>
      <w:jc w:val="center"/>
      <w:textAlignment w:val="center"/>
    </w:pPr>
    <w:rPr>
      <w:rFonts w:ascii="Arial" w:hAnsi="Arial" w:eastAsia="Times New Roman" w:cs="Arial"/>
      <w:b/>
      <w:bCs/>
      <w:i/>
      <w:iCs/>
      <w:color w:val="000000"/>
      <w:sz w:val="16"/>
      <w:szCs w:val="16"/>
      <w:lang w:eastAsia="it-IT"/>
    </w:rPr>
  </w:style>
  <w:style w:type="paragraph" w:styleId="Xl95" w:customStyle="1">
    <w:name w:val="xl95"/>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96" w:customStyle="1">
    <w:name w:val="xl96"/>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97" w:customStyle="1">
    <w:name w:val="xl97"/>
    <w:basedOn w:val="Normal"/>
    <w:qFormat/>
    <w:rsid w:val="0002254b"/>
    <w:pPr>
      <w:spacing w:beforeAutospacing="1" w:afterAutospacing="1"/>
      <w:jc w:val="center"/>
    </w:pPr>
    <w:rPr>
      <w:rFonts w:ascii="Arial" w:hAnsi="Arial" w:eastAsia="Times New Roman" w:cs="Arial"/>
      <w:color w:val="000000"/>
      <w:sz w:val="16"/>
      <w:szCs w:val="16"/>
      <w:lang w:eastAsia="it-IT"/>
    </w:rPr>
  </w:style>
  <w:style w:type="paragraph" w:styleId="Xl98" w:customStyle="1">
    <w:name w:val="xl98"/>
    <w:basedOn w:val="Normal"/>
    <w:qFormat/>
    <w:rsid w:val="0002254b"/>
    <w:pPr>
      <w:spacing w:beforeAutospacing="1" w:afterAutospacing="1"/>
      <w:textAlignment w:val="center"/>
    </w:pPr>
    <w:rPr>
      <w:rFonts w:ascii="Arial" w:hAnsi="Arial" w:eastAsia="Times New Roman" w:cs="Arial"/>
      <w:b/>
      <w:bCs/>
      <w:color w:val="000000"/>
      <w:sz w:val="18"/>
      <w:szCs w:val="18"/>
      <w:lang w:eastAsia="it-IT"/>
    </w:rPr>
  </w:style>
  <w:style w:type="paragraph" w:styleId="Xl99" w:customStyle="1">
    <w:name w:val="xl99"/>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100" w:customStyle="1">
    <w:name w:val="xl100"/>
    <w:basedOn w:val="Normal"/>
    <w:qFormat/>
    <w:rsid w:val="0002254b"/>
    <w:pPr>
      <w:spacing w:beforeAutospacing="1" w:afterAutospacing="1"/>
    </w:pPr>
    <w:rPr>
      <w:rFonts w:ascii="Arial" w:hAnsi="Arial" w:eastAsia="Times New Roman" w:cs="Arial"/>
      <w:color w:val="000000"/>
      <w:sz w:val="18"/>
      <w:szCs w:val="18"/>
      <w:lang w:eastAsia="it-IT"/>
    </w:rPr>
  </w:style>
  <w:style w:type="paragraph" w:styleId="Xl101" w:customStyle="1">
    <w:name w:val="xl101"/>
    <w:basedOn w:val="Normal"/>
    <w:qFormat/>
    <w:rsid w:val="0002254b"/>
    <w:pPr>
      <w:spacing w:beforeAutospacing="1" w:afterAutospacing="1"/>
      <w:jc w:val="right"/>
      <w:textAlignment w:val="center"/>
    </w:pPr>
    <w:rPr>
      <w:rFonts w:ascii="Arial" w:hAnsi="Arial" w:eastAsia="Times New Roman" w:cs="Arial"/>
      <w:b/>
      <w:bCs/>
      <w:color w:val="000000"/>
      <w:sz w:val="16"/>
      <w:szCs w:val="16"/>
      <w:lang w:eastAsia="it-IT"/>
    </w:rPr>
  </w:style>
  <w:style w:type="paragraph" w:styleId="Xl102" w:customStyle="1">
    <w:name w:val="xl102"/>
    <w:basedOn w:val="Normal"/>
    <w:qFormat/>
    <w:rsid w:val="0002254b"/>
    <w:pPr>
      <w:spacing w:beforeAutospacing="1" w:afterAutospacing="1"/>
      <w:jc w:val="center"/>
      <w:textAlignment w:val="center"/>
    </w:pPr>
    <w:rPr>
      <w:rFonts w:ascii="Arial" w:hAnsi="Arial" w:eastAsia="Times New Roman" w:cs="Arial"/>
      <w:color w:val="000000"/>
      <w:sz w:val="20"/>
      <w:szCs w:val="20"/>
      <w:lang w:eastAsia="it-IT"/>
    </w:rPr>
  </w:style>
  <w:style w:type="paragraph" w:styleId="Xl103" w:customStyle="1">
    <w:name w:val="xl103"/>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104" w:customStyle="1">
    <w:name w:val="xl104"/>
    <w:basedOn w:val="Normal"/>
    <w:qFormat/>
    <w:rsid w:val="0002254b"/>
    <w:pPr>
      <w:spacing w:beforeAutospacing="1" w:afterAutospacing="1"/>
      <w:jc w:val="right"/>
      <w:textAlignment w:val="center"/>
    </w:pPr>
    <w:rPr>
      <w:rFonts w:ascii="Arial" w:hAnsi="Arial" w:eastAsia="Times New Roman" w:cs="Arial"/>
      <w:b/>
      <w:bCs/>
      <w:color w:val="000000"/>
      <w:sz w:val="16"/>
      <w:szCs w:val="16"/>
      <w:lang w:eastAsia="it-IT"/>
    </w:rPr>
  </w:style>
  <w:style w:type="paragraph" w:styleId="Xl105" w:customStyle="1">
    <w:name w:val="xl105"/>
    <w:basedOn w:val="Normal"/>
    <w:qFormat/>
    <w:rsid w:val="0002254b"/>
    <w:pPr>
      <w:spacing w:beforeAutospacing="1" w:afterAutospacing="1"/>
      <w:textAlignment w:val="center"/>
    </w:pPr>
    <w:rPr>
      <w:rFonts w:ascii="Arial" w:hAnsi="Arial" w:eastAsia="Times New Roman" w:cs="Arial"/>
      <w:b/>
      <w:bCs/>
      <w:color w:val="000000"/>
      <w:sz w:val="18"/>
      <w:szCs w:val="18"/>
      <w:lang w:eastAsia="it-IT"/>
    </w:rPr>
  </w:style>
  <w:style w:type="paragraph" w:styleId="Xl106" w:customStyle="1">
    <w:name w:val="xl106"/>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107" w:customStyle="1">
    <w:name w:val="xl107"/>
    <w:basedOn w:val="Normal"/>
    <w:qFormat/>
    <w:rsid w:val="0002254b"/>
    <w:pPr>
      <w:spacing w:beforeAutospacing="1" w:afterAutospacing="1"/>
    </w:pPr>
    <w:rPr>
      <w:rFonts w:ascii="Arial" w:hAnsi="Arial" w:eastAsia="Times New Roman" w:cs="Arial"/>
      <w:color w:val="000000"/>
      <w:sz w:val="18"/>
      <w:szCs w:val="18"/>
      <w:lang w:eastAsia="it-IT"/>
    </w:rPr>
  </w:style>
  <w:style w:type="paragraph" w:styleId="Xl108" w:customStyle="1">
    <w:name w:val="xl108"/>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109" w:customStyle="1">
    <w:name w:val="xl109"/>
    <w:basedOn w:val="Normal"/>
    <w:qFormat/>
    <w:rsid w:val="0002254b"/>
    <w:pPr>
      <w:spacing w:beforeAutospacing="1" w:afterAutospacing="1"/>
      <w:jc w:val="center"/>
      <w:textAlignment w:val="center"/>
    </w:pPr>
    <w:rPr>
      <w:rFonts w:ascii="Arial" w:hAnsi="Arial" w:eastAsia="Times New Roman" w:cs="Arial"/>
      <w:color w:val="000000"/>
      <w:sz w:val="16"/>
      <w:szCs w:val="16"/>
      <w:lang w:eastAsia="it-IT"/>
    </w:rPr>
  </w:style>
  <w:style w:type="paragraph" w:styleId="Xl110" w:customStyle="1">
    <w:name w:val="xl110"/>
    <w:basedOn w:val="Normal"/>
    <w:qFormat/>
    <w:rsid w:val="0002254b"/>
    <w:pPr>
      <w:spacing w:beforeAutospacing="1" w:afterAutospacing="1"/>
      <w:jc w:val="center"/>
      <w:textAlignment w:val="center"/>
    </w:pPr>
    <w:rPr>
      <w:rFonts w:ascii="Arial" w:hAnsi="Arial" w:eastAsia="Times New Roman" w:cs="Arial"/>
      <w:b/>
      <w:bCs/>
      <w:color w:val="000000"/>
      <w:sz w:val="16"/>
      <w:szCs w:val="16"/>
      <w:lang w:eastAsia="it-IT"/>
    </w:rPr>
  </w:style>
  <w:style w:type="paragraph" w:styleId="Xl111" w:customStyle="1">
    <w:name w:val="xl111"/>
    <w:basedOn w:val="Normal"/>
    <w:qFormat/>
    <w:rsid w:val="0002254b"/>
    <w:pPr>
      <w:spacing w:beforeAutospacing="1" w:afterAutospacing="1"/>
      <w:jc w:val="right"/>
      <w:textAlignment w:val="center"/>
    </w:pPr>
    <w:rPr>
      <w:rFonts w:ascii="Arial" w:hAnsi="Arial" w:eastAsia="Times New Roman" w:cs="Arial"/>
      <w:b/>
      <w:bCs/>
      <w:color w:val="000000"/>
      <w:sz w:val="16"/>
      <w:szCs w:val="16"/>
      <w:lang w:eastAsia="it-IT"/>
    </w:rPr>
  </w:style>
  <w:style w:type="paragraph" w:styleId="Xl112" w:customStyle="1">
    <w:name w:val="xl112"/>
    <w:basedOn w:val="Normal"/>
    <w:qFormat/>
    <w:rsid w:val="0002254b"/>
    <w:pPr>
      <w:spacing w:beforeAutospacing="1" w:afterAutospacing="1"/>
      <w:jc w:val="right"/>
      <w:textAlignment w:val="center"/>
    </w:pPr>
    <w:rPr>
      <w:rFonts w:ascii="Arial" w:hAnsi="Arial" w:eastAsia="Times New Roman" w:cs="Arial"/>
      <w:b/>
      <w:bCs/>
      <w:color w:val="000000"/>
      <w:sz w:val="16"/>
      <w:szCs w:val="16"/>
      <w:lang w:eastAsia="it-IT"/>
    </w:rPr>
  </w:style>
  <w:style w:type="paragraph" w:styleId="Xl113" w:customStyle="1">
    <w:name w:val="xl113"/>
    <w:basedOn w:val="Normal"/>
    <w:qFormat/>
    <w:rsid w:val="0002254b"/>
    <w:pPr>
      <w:spacing w:beforeAutospacing="1" w:afterAutospacing="1"/>
      <w:jc w:val="center"/>
      <w:textAlignment w:val="center"/>
    </w:pPr>
    <w:rPr>
      <w:rFonts w:ascii="Arial" w:hAnsi="Arial" w:eastAsia="Times New Roman" w:cs="Arial"/>
      <w:b/>
      <w:bCs/>
      <w:color w:val="000000"/>
      <w:sz w:val="16"/>
      <w:szCs w:val="16"/>
      <w:lang w:eastAsia="it-IT"/>
    </w:rPr>
  </w:style>
  <w:style w:type="paragraph" w:styleId="Xl114" w:customStyle="1">
    <w:name w:val="xl114"/>
    <w:basedOn w:val="Normal"/>
    <w:qFormat/>
    <w:rsid w:val="0002254b"/>
    <w:pPr>
      <w:spacing w:beforeAutospacing="1" w:afterAutospacing="1"/>
      <w:textAlignment w:val="center"/>
    </w:pPr>
    <w:rPr>
      <w:rFonts w:ascii="Arial" w:hAnsi="Arial" w:eastAsia="Times New Roman" w:cs="Arial"/>
      <w:b/>
      <w:bCs/>
      <w:color w:val="000000"/>
      <w:sz w:val="14"/>
      <w:szCs w:val="14"/>
      <w:lang w:eastAsia="it-IT"/>
    </w:rPr>
  </w:style>
  <w:style w:type="paragraph" w:styleId="Xl115" w:customStyle="1">
    <w:name w:val="xl115"/>
    <w:basedOn w:val="Normal"/>
    <w:qFormat/>
    <w:rsid w:val="0002254b"/>
    <w:pPr>
      <w:spacing w:beforeAutospacing="1" w:afterAutospacing="1"/>
      <w:jc w:val="center"/>
      <w:textAlignment w:val="center"/>
    </w:pPr>
    <w:rPr>
      <w:rFonts w:ascii="Arial" w:hAnsi="Arial" w:eastAsia="Times New Roman" w:cs="Arial"/>
      <w:color w:val="000000"/>
      <w:sz w:val="20"/>
      <w:szCs w:val="20"/>
      <w:lang w:eastAsia="it-IT"/>
    </w:rPr>
  </w:style>
  <w:style w:type="paragraph" w:styleId="Xl116" w:customStyle="1">
    <w:name w:val="xl116"/>
    <w:basedOn w:val="Normal"/>
    <w:qFormat/>
    <w:rsid w:val="0002254b"/>
    <w:pPr>
      <w:spacing w:beforeAutospacing="1" w:afterAutospacing="1"/>
      <w:jc w:val="center"/>
      <w:textAlignment w:val="center"/>
    </w:pPr>
    <w:rPr>
      <w:rFonts w:ascii="Arial" w:hAnsi="Arial" w:eastAsia="Times New Roman" w:cs="Arial"/>
      <w:b/>
      <w:bCs/>
      <w:color w:val="000000"/>
      <w:sz w:val="20"/>
      <w:szCs w:val="20"/>
      <w:lang w:eastAsia="it-IT"/>
    </w:rPr>
  </w:style>
  <w:style w:type="paragraph" w:styleId="Xl117" w:customStyle="1">
    <w:name w:val="xl117"/>
    <w:basedOn w:val="Normal"/>
    <w:qFormat/>
    <w:rsid w:val="0002254b"/>
    <w:pPr>
      <w:spacing w:beforeAutospacing="1" w:afterAutospacing="1"/>
      <w:jc w:val="right"/>
      <w:textAlignment w:val="center"/>
    </w:pPr>
    <w:rPr>
      <w:rFonts w:ascii="Arial" w:hAnsi="Arial" w:eastAsia="Times New Roman" w:cs="Arial"/>
      <w:b/>
      <w:bCs/>
      <w:color w:val="000000"/>
      <w:sz w:val="16"/>
      <w:szCs w:val="16"/>
      <w:lang w:eastAsia="it-IT"/>
    </w:rPr>
  </w:style>
  <w:style w:type="paragraph" w:styleId="Xl118" w:customStyle="1">
    <w:name w:val="xl118"/>
    <w:basedOn w:val="Normal"/>
    <w:qFormat/>
    <w:rsid w:val="0002254b"/>
    <w:pPr>
      <w:spacing w:beforeAutospacing="1" w:afterAutospacing="1"/>
      <w:textAlignment w:val="center"/>
    </w:pPr>
    <w:rPr>
      <w:rFonts w:ascii="Arial" w:hAnsi="Arial" w:eastAsia="Times New Roman" w:cs="Arial"/>
      <w:b/>
      <w:bCs/>
      <w:color w:val="000000"/>
      <w:sz w:val="16"/>
      <w:szCs w:val="16"/>
      <w:lang w:eastAsia="it-IT"/>
    </w:rPr>
  </w:style>
  <w:style w:type="paragraph" w:styleId="Xl119" w:customStyle="1">
    <w:name w:val="xl119"/>
    <w:basedOn w:val="Normal"/>
    <w:qFormat/>
    <w:rsid w:val="0002254b"/>
    <w:pPr>
      <w:spacing w:beforeAutospacing="1" w:afterAutospacing="1"/>
      <w:textAlignment w:val="center"/>
    </w:pPr>
    <w:rPr>
      <w:rFonts w:ascii="Arial" w:hAnsi="Arial" w:eastAsia="Times New Roman" w:cs="Arial"/>
      <w:color w:val="000000"/>
      <w:sz w:val="20"/>
      <w:szCs w:val="20"/>
      <w:lang w:eastAsia="it-IT"/>
    </w:rPr>
  </w:style>
  <w:style w:type="paragraph" w:styleId="Xl120" w:customStyle="1">
    <w:name w:val="xl120"/>
    <w:basedOn w:val="Normal"/>
    <w:qFormat/>
    <w:rsid w:val="0002254b"/>
    <w:pPr>
      <w:spacing w:beforeAutospacing="1" w:afterAutospacing="1"/>
      <w:textAlignment w:val="center"/>
    </w:pPr>
    <w:rPr>
      <w:rFonts w:ascii="Arial" w:hAnsi="Arial" w:eastAsia="Times New Roman" w:cs="Arial"/>
      <w:b/>
      <w:bCs/>
      <w:color w:val="000000"/>
      <w:sz w:val="16"/>
      <w:szCs w:val="16"/>
      <w:lang w:eastAsia="it-IT"/>
    </w:rPr>
  </w:style>
  <w:style w:type="paragraph" w:styleId="Rientrocorpodeltesto21" w:customStyle="1">
    <w:name w:val="Rientro corpo del testo 21"/>
    <w:basedOn w:val="Normal"/>
    <w:qFormat/>
    <w:rsid w:val="0002254b"/>
    <w:pPr>
      <w:ind w:hanging="3119" w:left="3119"/>
      <w:jc w:val="both"/>
    </w:pPr>
    <w:rPr>
      <w:rFonts w:ascii="Arial" w:hAnsi="Arial" w:eastAsia="Times New Roman" w:cs="Times New Roman"/>
      <w:color w:val="000000"/>
      <w:sz w:val="22"/>
      <w:szCs w:val="20"/>
      <w:lang w:eastAsia="ar-SA"/>
    </w:rPr>
  </w:style>
  <w:style w:type="paragraph" w:styleId="Livello4" w:customStyle="1">
    <w:name w:val="Livello 4"/>
    <w:basedOn w:val="BodyText"/>
    <w:qFormat/>
    <w:rsid w:val="0002254b"/>
    <w:pPr>
      <w:jc w:val="left"/>
    </w:pPr>
    <w:rPr>
      <w:szCs w:val="24"/>
    </w:rPr>
  </w:style>
  <w:style w:type="paragraph" w:styleId="Livello2" w:customStyle="1">
    <w:name w:val="Livello 2"/>
    <w:basedOn w:val="BodyText"/>
    <w:qFormat/>
    <w:rsid w:val="0002254b"/>
    <w:pPr>
      <w:jc w:val="center"/>
    </w:pPr>
    <w:rPr>
      <w:b/>
      <w:bCs/>
      <w:sz w:val="28"/>
      <w:szCs w:val="24"/>
    </w:rPr>
  </w:style>
  <w:style w:type="paragraph" w:styleId="Livello1" w:customStyle="1">
    <w:name w:val="Livello 1"/>
    <w:basedOn w:val="Title"/>
    <w:qFormat/>
    <w:rsid w:val="0002254b"/>
    <w:pPr>
      <w:spacing w:lineRule="auto" w:line="360"/>
    </w:pPr>
    <w:rPr>
      <w:bCs/>
      <w:i w:val="false"/>
      <w:sz w:val="36"/>
      <w:szCs w:val="24"/>
    </w:rPr>
  </w:style>
  <w:style w:type="paragraph" w:styleId="Livello5" w:customStyle="1">
    <w:name w:val="Livello 5"/>
    <w:qFormat/>
    <w:rsid w:val="0002254b"/>
    <w:pPr>
      <w:widowControl/>
      <w:suppressAutoHyphens w:val="true"/>
      <w:bidi w:val="0"/>
      <w:spacing w:before="0" w:after="0"/>
      <w:jc w:val="left"/>
    </w:pPr>
    <w:rPr>
      <w:rFonts w:ascii="Times New Roman" w:hAnsi="Times New Roman" w:eastAsia="Times New Roman" w:cs="Times New Roman"/>
      <w:color w:val="00000A"/>
      <w:kern w:val="0"/>
      <w:sz w:val="24"/>
      <w:szCs w:val="20"/>
      <w:lang w:val="it-IT" w:eastAsia="it-IT" w:bidi="ar-SA"/>
    </w:rPr>
  </w:style>
  <w:style w:type="paragraph" w:styleId="BodyTextIndent2">
    <w:name w:val="Body Text Indent 2"/>
    <w:basedOn w:val="Normal"/>
    <w:link w:val="Rientrocorpodeltesto2Carattere"/>
    <w:uiPriority w:val="99"/>
    <w:semiHidden/>
    <w:unhideWhenUsed/>
    <w:qFormat/>
    <w:rsid w:val="0002254b"/>
    <w:pPr>
      <w:spacing w:lineRule="auto" w:line="480" w:before="0" w:after="120"/>
      <w:ind w:left="283"/>
    </w:pPr>
    <w:rPr>
      <w:rFonts w:ascii="Arial" w:hAnsi="Arial" w:eastAsia="Times New Roman" w:cs="Times New Roman"/>
      <w:color w:val="000000"/>
      <w:sz w:val="22"/>
      <w:lang w:eastAsia="it-IT"/>
    </w:rPr>
  </w:style>
  <w:style w:type="paragraph" w:styleId="Corpodeltesto211" w:customStyle="1">
    <w:name w:val="Corpo del testo 211"/>
    <w:basedOn w:val="Normal"/>
    <w:qFormat/>
    <w:rsid w:val="0002254b"/>
    <w:pPr>
      <w:spacing w:lineRule="auto" w:line="360"/>
      <w:ind w:hanging="1276" w:left="1276"/>
      <w:jc w:val="both"/>
    </w:pPr>
    <w:rPr>
      <w:rFonts w:ascii="Arial" w:hAnsi="Arial" w:eastAsia="Times New Roman" w:cs="Times New Roman"/>
      <w:smallCaps/>
      <w:color w:val="000000"/>
      <w:sz w:val="22"/>
      <w:szCs w:val="20"/>
      <w:lang w:eastAsia="it-IT"/>
    </w:rPr>
  </w:style>
  <w:style w:type="paragraph" w:styleId="Corpodeltesto22" w:customStyle="1">
    <w:name w:val="Corpo del testo 22"/>
    <w:basedOn w:val="Normal"/>
    <w:qFormat/>
    <w:rsid w:val="0002254b"/>
    <w:pPr>
      <w:spacing w:lineRule="auto" w:line="360"/>
      <w:ind w:hanging="1276" w:left="1276"/>
      <w:jc w:val="both"/>
    </w:pPr>
    <w:rPr>
      <w:rFonts w:ascii="Arial" w:hAnsi="Arial" w:eastAsia="Times New Roman" w:cs="Times New Roman"/>
      <w:smallCaps/>
      <w:color w:val="000000"/>
      <w:sz w:val="22"/>
      <w:szCs w:val="20"/>
      <w:lang w:eastAsia="it-IT"/>
    </w:rPr>
  </w:style>
  <w:style w:type="paragraph" w:styleId="Textbody" w:customStyle="1">
    <w:name w:val="Text body"/>
    <w:basedOn w:val="Standard"/>
    <w:qFormat/>
    <w:rsid w:val="00774c38"/>
    <w:pPr>
      <w:widowControl w:val="false"/>
      <w:spacing w:lineRule="atLeast" w:line="100" w:before="0" w:after="120"/>
    </w:pPr>
    <w:rPr>
      <w:rFonts w:eastAsia="SimSun" w:cs="Mangal"/>
      <w:lang w:eastAsia="hi-IN" w:bidi="hi-IN"/>
    </w:rPr>
  </w:style>
  <w:style w:type="paragraph" w:styleId="TableParagraph" w:customStyle="1">
    <w:name w:val="Table Paragraph"/>
    <w:basedOn w:val="Normal"/>
    <w:uiPriority w:val="1"/>
    <w:qFormat/>
    <w:rsid w:val="006a546c"/>
    <w:pPr>
      <w:widowControl w:val="false"/>
    </w:pPr>
    <w:rPr>
      <w:rFonts w:ascii="Arial MT" w:hAnsi="Arial MT" w:eastAsia="Arial MT" w:cs="Arial MT"/>
      <w:sz w:val="22"/>
      <w:szCs w:val="22"/>
    </w:rPr>
  </w:style>
  <w:style w:type="paragraph" w:styleId="Titolotabella" w:customStyle="1">
    <w:name w:val="Titolo tabella"/>
    <w:basedOn w:val="Contenutotabella"/>
    <w:qFormat/>
    <w:rsid w:val="00323ff4"/>
    <w:pPr>
      <w:jc w:val="center"/>
    </w:pPr>
    <w:rPr>
      <w:b/>
      <w:bCs/>
    </w:rPr>
  </w:style>
  <w:style w:type="paragraph" w:styleId="Testocitato" w:customStyle="1">
    <w:name w:val="Testo citato"/>
    <w:basedOn w:val="Normal"/>
    <w:qFormat/>
    <w:rsid w:val="00323ff4"/>
    <w:pPr>
      <w:spacing w:before="0" w:after="283"/>
      <w:ind w:left="567" w:right="567"/>
    </w:pPr>
    <w:rPr/>
  </w:style>
  <w:style w:type="paragraph" w:styleId="Testonotaapidipagina1" w:customStyle="1">
    <w:name w:val="Testo nota a piè di pagina1"/>
    <w:basedOn w:val="Normal"/>
    <w:link w:val="TestonotaapidipaginaCarattere"/>
    <w:qFormat/>
    <w:rsid w:val="00323ff4"/>
    <w:pPr>
      <w:suppressLineNumbers/>
      <w:ind w:hanging="339" w:left="339"/>
    </w:pPr>
    <w:rPr>
      <w:sz w:val="20"/>
      <w:szCs w:val="20"/>
    </w:rPr>
  </w:style>
  <w:style w:type="paragraph" w:styleId="Titoloa" w:customStyle="1">
    <w:name w:val="titolo a"/>
    <w:basedOn w:val="Normal"/>
    <w:qFormat/>
    <w:rsid w:val="00323ff4"/>
    <w:pPr>
      <w:keepNext w:val="true"/>
      <w:keepLines/>
      <w:suppressAutoHyphens w:val="false"/>
      <w:spacing w:before="120" w:after="60"/>
      <w:jc w:val="both"/>
      <w:outlineLvl w:val="1"/>
    </w:pPr>
    <w:rPr>
      <w:rFonts w:ascii="Arial" w:hAnsi="Arial" w:eastAsia="Times New Roman" w:cs="Times New Roman"/>
      <w:color w:val="C00000"/>
    </w:rPr>
  </w:style>
  <w:style w:type="paragraph" w:styleId="Paragraph" w:customStyle="1">
    <w:name w:val="paragraph"/>
    <w:basedOn w:val="Normal"/>
    <w:qFormat/>
    <w:rsid w:val="00323ff4"/>
    <w:pPr>
      <w:spacing w:beforeAutospacing="1" w:afterAutospacing="1"/>
    </w:pPr>
    <w:rPr>
      <w:rFonts w:ascii="Times New Roman" w:hAnsi="Times New Roman" w:eastAsia="Times New Roman" w:cs="Times New Roman"/>
      <w:lang w:eastAsia="it-IT"/>
    </w:rPr>
  </w:style>
  <w:style w:type="paragraph" w:styleId="P" w:customStyle="1">
    <w:name w:val="P"/>
    <w:qFormat/>
    <w:rsid w:val="00875fbf"/>
    <w:pPr>
      <w:widowControl/>
      <w:suppressAutoHyphens w:val="true"/>
      <w:bidi w:val="0"/>
      <w:spacing w:lineRule="auto" w:line="276" w:before="0" w:after="200"/>
      <w:jc w:val="both"/>
    </w:pPr>
    <w:rPr>
      <w:rFonts w:ascii="News Serif" w:hAnsi="News Serif" w:eastAsia="Times New Roman" w:cs="News Serif"/>
      <w:color w:val="00000A"/>
      <w:kern w:val="0"/>
      <w:sz w:val="24"/>
      <w:szCs w:val="20"/>
      <w:lang w:val="it-IT" w:eastAsia="zh-CN" w:bidi="ar-SA"/>
    </w:rPr>
  </w:style>
  <w:style w:type="paragraph" w:styleId="HTMLPreformatted">
    <w:name w:val="HTML Preformatted"/>
    <w:basedOn w:val="Normal"/>
    <w:link w:val="PreformattatoHTMLCarattere"/>
    <w:qFormat/>
    <w:rsid w:val="004b2918"/>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lang w:eastAsia="zh-CN"/>
    </w:rPr>
  </w:style>
  <w:style w:type="paragraph" w:styleId="Contenutocornice" w:customStyle="1">
    <w:name w:val="Contenuto cornice"/>
    <w:basedOn w:val="Normal"/>
    <w:qFormat/>
    <w:rsid w:val="0032358e"/>
    <w:pPr/>
    <w:rPr/>
  </w:style>
  <w:style w:type="paragraph" w:styleId="Header" w:customStyle="1">
    <w:name w:val="Header"/>
    <w:basedOn w:val="Normal"/>
    <w:link w:val="IntestazioneCarattere2"/>
    <w:rsid w:val="00fd6e4a"/>
    <w:pPr>
      <w:tabs>
        <w:tab w:val="clear" w:pos="720"/>
        <w:tab w:val="center" w:pos="4819" w:leader="none"/>
        <w:tab w:val="right" w:pos="9638" w:leader="none"/>
      </w:tabs>
    </w:pPr>
    <w:rPr>
      <w:rFonts w:ascii="Times New Roman" w:hAnsi="Times New Roman" w:eastAsia="PMingLiU" w:cs="Times New Roman"/>
      <w:color w:val="auto"/>
      <w:lang w:eastAsia="ar-SA"/>
    </w:rPr>
  </w:style>
  <w:style w:type="paragraph" w:styleId="Footer" w:customStyle="1">
    <w:name w:val="Footer"/>
    <w:basedOn w:val="Normal"/>
    <w:link w:val="PidipaginaCarattere2"/>
    <w:uiPriority w:val="99"/>
    <w:rsid w:val="00fd6e4a"/>
    <w:pPr>
      <w:tabs>
        <w:tab w:val="clear" w:pos="720"/>
        <w:tab w:val="center" w:pos="4819" w:leader="none"/>
        <w:tab w:val="right" w:pos="9638" w:leader="none"/>
      </w:tabs>
      <w:suppressAutoHyphens w:val="false"/>
    </w:pPr>
    <w:rPr>
      <w:rFonts w:ascii="Times New Roman" w:hAnsi="Times New Roman" w:eastAsia="Times New Roman" w:cs="Times New Roman"/>
      <w:color w:val="auto"/>
      <w:lang w:eastAsia="it-IT"/>
    </w:rPr>
  </w:style>
  <w:style w:type="paragraph" w:styleId="TOC2" w:customStyle="1">
    <w:name w:val="TOC 2"/>
    <w:basedOn w:val="Normal"/>
    <w:next w:val="Normal"/>
    <w:autoRedefine/>
    <w:uiPriority w:val="39"/>
    <w:unhideWhenUsed/>
    <w:rsid w:val="002c0226"/>
    <w:pPr>
      <w:spacing w:before="0" w:after="100"/>
      <w:ind w:left="240"/>
    </w:pPr>
    <w:rPr/>
  </w:style>
  <w:style w:type="paragraph" w:styleId="TOC3" w:customStyle="1">
    <w:name w:val="TOC 3"/>
    <w:basedOn w:val="Normal"/>
    <w:next w:val="Normal"/>
    <w:autoRedefine/>
    <w:uiPriority w:val="39"/>
    <w:unhideWhenUsed/>
    <w:rsid w:val="002c0226"/>
    <w:pPr>
      <w:spacing w:before="0" w:after="100"/>
      <w:ind w:left="480"/>
    </w:pPr>
    <w:rPr/>
  </w:style>
  <w:style w:type="paragraph" w:styleId="TOC1" w:customStyle="1">
    <w:name w:val="TOC 1"/>
    <w:basedOn w:val="Normal"/>
    <w:autoRedefine/>
    <w:uiPriority w:val="39"/>
    <w:unhideWhenUsed/>
    <w:rsid w:val="007500dd"/>
    <w:pPr>
      <w:spacing w:before="360" w:after="0"/>
    </w:pPr>
    <w:rPr>
      <w:rFonts w:ascii="Calibri Light" w:hAnsi="Calibri Light" w:cs="Calibri Light" w:asciiTheme="majorHAnsi" w:cstheme="majorHAnsi" w:hAnsiTheme="majorHAnsi"/>
      <w:b/>
      <w:bCs/>
      <w:caps/>
    </w:rPr>
  </w:style>
  <w:style w:type="paragraph" w:styleId="TOC4" w:customStyle="1">
    <w:name w:val="TOC 4"/>
    <w:basedOn w:val="Normal"/>
    <w:autoRedefine/>
    <w:uiPriority w:val="39"/>
    <w:unhideWhenUsed/>
    <w:rsid w:val="007500dd"/>
    <w:pPr>
      <w:ind w:left="480"/>
    </w:pPr>
    <w:rPr>
      <w:rFonts w:cs="Calibri" w:cstheme="minorHAnsi"/>
      <w:sz w:val="20"/>
      <w:szCs w:val="20"/>
    </w:rPr>
  </w:style>
  <w:style w:type="paragraph" w:styleId="TOC5" w:customStyle="1">
    <w:name w:val="TOC 5"/>
    <w:basedOn w:val="Normal"/>
    <w:autoRedefine/>
    <w:uiPriority w:val="39"/>
    <w:unhideWhenUsed/>
    <w:rsid w:val="007500dd"/>
    <w:pPr>
      <w:ind w:left="720"/>
    </w:pPr>
    <w:rPr>
      <w:rFonts w:cs="Calibri" w:cstheme="minorHAnsi"/>
      <w:sz w:val="20"/>
      <w:szCs w:val="20"/>
    </w:rPr>
  </w:style>
  <w:style w:type="paragraph" w:styleId="TOC6" w:customStyle="1">
    <w:name w:val="TOC 6"/>
    <w:basedOn w:val="Normal"/>
    <w:autoRedefine/>
    <w:uiPriority w:val="39"/>
    <w:unhideWhenUsed/>
    <w:rsid w:val="007500dd"/>
    <w:pPr>
      <w:ind w:left="960"/>
    </w:pPr>
    <w:rPr>
      <w:rFonts w:cs="Calibri" w:cstheme="minorHAnsi"/>
      <w:sz w:val="20"/>
      <w:szCs w:val="20"/>
    </w:rPr>
  </w:style>
  <w:style w:type="paragraph" w:styleId="TOC7" w:customStyle="1">
    <w:name w:val="TOC 7"/>
    <w:basedOn w:val="Normal"/>
    <w:autoRedefine/>
    <w:uiPriority w:val="39"/>
    <w:unhideWhenUsed/>
    <w:rsid w:val="007500dd"/>
    <w:pPr>
      <w:ind w:left="1200"/>
    </w:pPr>
    <w:rPr>
      <w:rFonts w:cs="Calibri" w:cstheme="minorHAnsi"/>
      <w:sz w:val="20"/>
      <w:szCs w:val="20"/>
    </w:rPr>
  </w:style>
  <w:style w:type="paragraph" w:styleId="TOC8" w:customStyle="1">
    <w:name w:val="TOC 8"/>
    <w:basedOn w:val="Normal"/>
    <w:autoRedefine/>
    <w:uiPriority w:val="39"/>
    <w:unhideWhenUsed/>
    <w:rsid w:val="007500dd"/>
    <w:pPr>
      <w:ind w:left="1440"/>
    </w:pPr>
    <w:rPr>
      <w:rFonts w:cs="Calibri" w:cstheme="minorHAnsi"/>
      <w:sz w:val="20"/>
      <w:szCs w:val="20"/>
    </w:rPr>
  </w:style>
  <w:style w:type="paragraph" w:styleId="TOC9" w:customStyle="1">
    <w:name w:val="TOC 9"/>
    <w:basedOn w:val="Normal"/>
    <w:autoRedefine/>
    <w:uiPriority w:val="39"/>
    <w:unhideWhenUsed/>
    <w:rsid w:val="007500dd"/>
    <w:pPr>
      <w:ind w:left="1680"/>
    </w:pPr>
    <w:rPr>
      <w:rFonts w:cs="Calibri" w:cstheme="minorHAnsi"/>
      <w:sz w:val="20"/>
      <w:szCs w:val="20"/>
    </w:rPr>
  </w:style>
  <w:style w:type="paragraph" w:styleId="FootnoteText" w:customStyle="1">
    <w:name w:val="Footnote Text"/>
    <w:basedOn w:val="Normal"/>
    <w:link w:val="TestonotaapidipaginaCarattere2"/>
    <w:unhideWhenUsed/>
    <w:rsid w:val="00fd6e4a"/>
    <w:pPr>
      <w:suppressAutoHyphens w:val="false"/>
    </w:pPr>
    <w:rPr>
      <w:rFonts w:ascii="Calibri" w:hAnsi="Calibri" w:eastAsia="Calibri" w:asciiTheme="minorHAnsi" w:eastAsiaTheme="minorHAnsi" w:hAnsiTheme="minorHAnsi"/>
      <w:color w:val="auto"/>
      <w:kern w:val="2"/>
      <w:sz w:val="20"/>
      <w:szCs w:val="20"/>
    </w:rPr>
  </w:style>
  <w:style w:type="paragraph" w:styleId="Quote">
    <w:name w:val="Quote"/>
    <w:basedOn w:val="Normal"/>
    <w:next w:val="Normal"/>
    <w:link w:val="CitazioneCarattere"/>
    <w:uiPriority w:val="29"/>
    <w:qFormat/>
    <w:rsid w:val="00fd6e4a"/>
    <w:pPr>
      <w:suppressAutoHyphens w:val="false"/>
      <w:spacing w:lineRule="auto" w:line="276" w:before="160" w:after="160"/>
      <w:jc w:val="center"/>
    </w:pPr>
    <w:rPr>
      <w:rFonts w:ascii="Calibri" w:hAnsi="Calibri" w:eastAsia="Calibri" w:asciiTheme="minorHAnsi" w:eastAsiaTheme="minorHAnsi" w:hAnsiTheme="minorHAnsi"/>
      <w:i/>
      <w:iCs/>
      <w:color w:themeColor="text1" w:themeTint="bf" w:val="404040"/>
      <w:kern w:val="2"/>
    </w:rPr>
  </w:style>
  <w:style w:type="paragraph" w:styleId="IntenseQuote">
    <w:name w:val="Intense Quote"/>
    <w:basedOn w:val="Normal"/>
    <w:next w:val="Normal"/>
    <w:link w:val="CitazioneintensaCarattere"/>
    <w:uiPriority w:val="30"/>
    <w:qFormat/>
    <w:rsid w:val="00fd6e4a"/>
    <w:pPr>
      <w:pBdr>
        <w:top w:val="single" w:sz="4" w:space="10" w:color="2F5496" w:themeColor="accent1" w:themeShade="bf"/>
        <w:bottom w:val="single" w:sz="4" w:space="10" w:color="2F5496" w:themeColor="accent1" w:themeShade="bf"/>
      </w:pBdr>
      <w:suppressAutoHyphens w:val="false"/>
      <w:spacing w:lineRule="auto" w:line="276" w:before="360" w:after="360"/>
      <w:ind w:left="864" w:right="864"/>
      <w:jc w:val="center"/>
    </w:pPr>
    <w:rPr>
      <w:rFonts w:ascii="Calibri" w:hAnsi="Calibri" w:eastAsia="Calibri" w:asciiTheme="minorHAnsi" w:eastAsiaTheme="minorHAnsi" w:hAnsiTheme="minorHAnsi"/>
      <w:i/>
      <w:iCs/>
      <w:color w:themeColor="accent1" w:themeShade="bf" w:val="2F5496"/>
      <w:kern w:val="2"/>
    </w:rPr>
  </w:style>
  <w:style w:type="paragraph" w:styleId="Annotationtext">
    <w:name w:val="annotation text"/>
    <w:basedOn w:val="Normal"/>
    <w:link w:val="TestocommentoCarattere"/>
    <w:uiPriority w:val="99"/>
    <w:unhideWhenUsed/>
    <w:qFormat/>
    <w:rsid w:val="00fd6e4a"/>
    <w:pPr>
      <w:suppressAutoHyphens w:val="false"/>
      <w:spacing w:before="0" w:after="160"/>
    </w:pPr>
    <w:rPr>
      <w:rFonts w:ascii="Calibri" w:hAnsi="Calibri" w:eastAsia="Calibri" w:asciiTheme="minorHAnsi" w:eastAsiaTheme="minorHAnsi" w:hAnsiTheme="minorHAnsi"/>
      <w:color w:val="auto"/>
      <w:sz w:val="20"/>
      <w:szCs w:val="20"/>
    </w:rPr>
  </w:style>
  <w:style w:type="paragraph" w:styleId="Annotationsubject">
    <w:name w:val="annotation subject"/>
    <w:basedOn w:val="Annotationtext"/>
    <w:next w:val="Annotationtext"/>
    <w:link w:val="SoggettocommentoCarattere"/>
    <w:unhideWhenUsed/>
    <w:qFormat/>
    <w:rsid w:val="00fd6e4a"/>
    <w:pPr/>
    <w:rPr>
      <w:b/>
      <w:bCs/>
    </w:rPr>
  </w:style>
  <w:style w:type="paragraph" w:styleId="Xxmsonormal" w:customStyle="1">
    <w:name w:val="xxmsonormal"/>
    <w:basedOn w:val="Normal"/>
    <w:qFormat/>
    <w:rsid w:val="00fd6e4a"/>
    <w:pPr>
      <w:suppressAutoHyphens w:val="false"/>
      <w:spacing w:beforeAutospacing="1" w:afterAutospacing="1"/>
    </w:pPr>
    <w:rPr>
      <w:rFonts w:ascii="Times New Roman" w:hAnsi="Times New Roman" w:eastAsia="Times New Roman" w:cs="Times New Roman"/>
      <w:color w:val="auto"/>
      <w:lang w:eastAsia="it-IT"/>
    </w:rPr>
  </w:style>
  <w:style w:type="paragraph" w:styleId="Paragrafobase" w:customStyle="1">
    <w:name w:val="[Paragrafo base]"/>
    <w:basedOn w:val="Normal"/>
    <w:qFormat/>
    <w:rsid w:val="00fd6e4a"/>
    <w:pPr>
      <w:widowControl w:val="false"/>
      <w:spacing w:lineRule="auto" w:line="288"/>
      <w:textAlignment w:val="center"/>
    </w:pPr>
    <w:rPr>
      <w:rFonts w:ascii="Times-Roman" w:hAnsi="Times-Roman" w:eastAsia="Cambria" w:cs="Times-Roman"/>
      <w:color w:val="000000"/>
      <w:lang w:eastAsia="zh-CN"/>
    </w:rPr>
  </w:style>
  <w:style w:type="numbering" w:styleId="NoList" w:default="1">
    <w:name w:val="No List"/>
    <w:uiPriority w:val="99"/>
    <w:semiHidden/>
    <w:unhideWhenUsed/>
    <w:qFormat/>
  </w:style>
  <w:style w:type="numbering" w:styleId="WW8Num2" w:customStyle="1">
    <w:name w:val="WW8Num2"/>
    <w:qFormat/>
    <w:rsid w:val="00323ff4"/>
  </w:style>
  <w:style w:type="numbering" w:styleId="WW8Num19" w:customStyle="1">
    <w:name w:val="WW8Num19"/>
    <w:qFormat/>
    <w:rsid w:val="00323ff4"/>
  </w:style>
  <w:style w:type="numbering" w:styleId="WW8Num20" w:customStyle="1">
    <w:name w:val="WW8Num20"/>
    <w:qFormat/>
    <w:rsid w:val="00323ff4"/>
  </w:style>
  <w:style w:type="numbering" w:styleId="WW8Num7" w:customStyle="1">
    <w:name w:val="WW8Num7"/>
    <w:qFormat/>
    <w:rsid w:val="00323ff4"/>
  </w:style>
  <w:style w:type="numbering" w:styleId="WW8Num3" w:customStyle="1">
    <w:name w:val="WW8Num3"/>
    <w:qFormat/>
    <w:rsid w:val="00323ff4"/>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styleId="Grigliatabella">
    <w:name w:val="Table Grid"/>
    <w:basedOn w:val="Tabellanormale"/>
    <w:uiPriority w:val="39"/>
    <w:rsid w:val="00d907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
    <w:name w:val="Table Normal"/>
    <w:uiPriority w:val="2"/>
    <w:semiHidden/>
    <w:unhideWhenUsed/>
    <w:qFormat/>
    <w:rsid w:val="006a546c"/>
    <w:rPr>
      <w:lang w:val="en-US"/>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image" Target="media/image2.png"/><Relationship Id="rId5" Type="http://schemas.openxmlformats.org/officeDocument/2006/relationships/hyperlink" Target="mailto:comune.marano@cert.comune.marano-sul-panaro.mo.it" TargetMode="Externa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wmf"/><Relationship Id="rId11" Type="http://schemas.openxmlformats.org/officeDocument/2006/relationships/image" Target="media/image8.wmf"/><Relationship Id="rId12" Type="http://schemas.openxmlformats.org/officeDocument/2006/relationships/hyperlink" Target="mailto:tuteladipendente@comune.marano.mo.it" TargetMode="External"/><Relationship Id="rId13" Type="http://schemas.openxmlformats.org/officeDocument/2006/relationships/hyperlink" Target="https://www.anticorruzione.it/documents/91439/2366412/Delibera+n.+469+del+9+giugno+2021+&#8211;+Linee+guida+Whistleblowing.pdf/5320b852-b9e5-c063-c578-abe41f08a4a1?t=1627553237503" TargetMode="External"/><Relationship Id="rId14" Type="http://schemas.openxmlformats.org/officeDocument/2006/relationships/hyperlink" Target="https://whistleblowing.anticorruzione.it/" TargetMode="External"/><Relationship Id="rId15" Type="http://schemas.openxmlformats.org/officeDocument/2006/relationships/hyperlink" Target="https://comunedimaranosulpanaro.whistleblowing.it/" TargetMode="External"/><Relationship Id="rId16" Type="http://schemas.openxmlformats.org/officeDocument/2006/relationships/hyperlink" Target="http://www.comune.marano.mo.it/" TargetMode="External"/><Relationship Id="rId17" Type="http://schemas.openxmlformats.org/officeDocument/2006/relationships/image" Target="media/image9.gif"/><Relationship Id="rId18" Type="http://schemas.openxmlformats.org/officeDocument/2006/relationships/hyperlink" Target="http://www.comune.marano.mo.it/documenti/modulistica/autocertificazioni/moduli_per_autocertificazioni.htm" TargetMode="External"/><Relationship Id="rId19" Type="http://schemas.openxmlformats.org/officeDocument/2006/relationships/hyperlink" Target="https://www.comune.marano.mo.it/servizi_e_uffici_comunali/settore_amministrativo/servizi_demografici/carta_di_identita.htm" TargetMode="External"/><Relationship Id="rId20" Type="http://schemas.openxmlformats.org/officeDocument/2006/relationships/hyperlink" Target="https://www.comune.marano.mo.it/servizi_e_uffici_comunali/settore_amministrativo/servizi_demografici/passaporto.htm" TargetMode="External"/><Relationship Id="rId21" Type="http://schemas.openxmlformats.org/officeDocument/2006/relationships/hyperlink" Target="https://www.comune.marano.mo.it/servizi_e_uffici_comunali/settore_amministrativo/servizi_demografici/passaggi_di_proprieta_di_veicoli.htm" TargetMode="External"/><Relationship Id="rId22" Type="http://schemas.openxmlformats.org/officeDocument/2006/relationships/hyperlink" Target="https://www.comune.marano.mo.it/servizi_e_uffici_comunali/settore_amministrativo/servizi_demografici/dichiarazione_di_residenza.htm" TargetMode="External"/><Relationship Id="rId23" Type="http://schemas.openxmlformats.org/officeDocument/2006/relationships/hyperlink" Target="http://www.comune.marano.mo.it/servizi_e_uffici_comunali/settore_amministrativo/servizi_demografici/domicilio.htm" TargetMode="External"/><Relationship Id="rId24" Type="http://schemas.openxmlformats.org/officeDocument/2006/relationships/hyperlink" Target="https://www.comune.marano.mo.it/servizi_e_uffici_comunali/settore_amministrativo/servizi_demografici/convivenze_di_fatto.htm" TargetMode="External"/><Relationship Id="rId25" Type="http://schemas.openxmlformats.org/officeDocument/2006/relationships/hyperlink" Target="https://www.comune.marano.mo.it/servizi_e_uffici_comunali/settore_amministrativo/servizi_demografici/celebrazione_matrimoni.htm" TargetMode="External"/><Relationship Id="rId26" Type="http://schemas.openxmlformats.org/officeDocument/2006/relationships/hyperlink" Target="https://www.comune.marano.mo.it/servizi_e_uffici_comunali/settore_amministrativo/servizi_demografici/index.htm" TargetMode="External"/><Relationship Id="rId27" Type="http://schemas.openxmlformats.org/officeDocument/2006/relationships/hyperlink" Target="https://www.comune.marano.mo.it/servizi_e_uffici_comunali/settore_amministrativo/servizi_demografici/separazioni_e_divorzi.htm" TargetMode="External"/><Relationship Id="rId28" Type="http://schemas.openxmlformats.org/officeDocument/2006/relationships/hyperlink" Target="http://www.comune.marano.mo.it/servizi_e_uffici_comunali/settore_amministrativo/servizi_demografici/testamento_biologico.htm" TargetMode="External"/><Relationship Id="rId29" Type="http://schemas.openxmlformats.org/officeDocument/2006/relationships/hyperlink" Target="https://www.comune.marano.mo.it/servizi_e_uffici_comunali/settore_amministrativo/servizi_demografici/albo_dei_presidenti_seggio_elettorale.htm" TargetMode="External"/><Relationship Id="rId30" Type="http://schemas.openxmlformats.org/officeDocument/2006/relationships/hyperlink" Target="https://www.comune.marano.mo.it/servizi_e_uffici_comunali/settore_amministrativo/servizi_demografici/albo_degli_scrutatori_dei_seggi_elettorali.htm" TargetMode="External"/><Relationship Id="rId31" Type="http://schemas.openxmlformats.org/officeDocument/2006/relationships/hyperlink" Target="https://casadivetromarano.terredicastelli.mo.it/L190/?idSezione=27&amp;id=&amp;sort=&amp;activePage=&amp;search=" TargetMode="External"/><Relationship Id="rId32" Type="http://schemas.openxmlformats.org/officeDocument/2006/relationships/hyperlink" Target="http://www.unione.terredicastelli.mo.it/ufficio_sismica/index.htm" TargetMode="External"/><Relationship Id="rId33" Type="http://schemas.openxmlformats.org/officeDocument/2006/relationships/hyperlink" Target="http://www.gruppohera.it/progettisti_tecnici/" TargetMode="External"/><Relationship Id="rId34" Type="http://schemas.openxmlformats.org/officeDocument/2006/relationships/hyperlink" Target="https://www.comune.marano.mo.it/servizi_e_uffici_comunali/settore_urbanistica_edilizia_privata_ambiente_commercio_e_attivita_produttive/servizio_ambiente/isola_ecologica.htm" TargetMode="External"/><Relationship Id="rId35" Type="http://schemas.openxmlformats.org/officeDocument/2006/relationships/hyperlink" Target="https://repubblicadigitale.innovazione.gov.it/pubblicato-piano-operativo-strategia-nazionale-competenze-digitali/" TargetMode="External"/><Relationship Id="rId36" Type="http://schemas.openxmlformats.org/officeDocument/2006/relationships/hyperlink" Target="https://www.competenzedigitali.gov.it/" TargetMode="External"/><Relationship Id="rId37" Type="http://schemas.openxmlformats.org/officeDocument/2006/relationships/hyperlink" Target="https://www.funzionepubblica.gov.it/formazione/direttiva-del-ministro-la-pubblica-amministrazione" TargetMode="External"/><Relationship Id="rId38" Type="http://schemas.openxmlformats.org/officeDocument/2006/relationships/footer" Target="footer2.xml"/><Relationship Id="rId39" Type="http://schemas.openxmlformats.org/officeDocument/2006/relationships/footer" Target="footer3.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Relationship Id="rId4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FC716-1A7B-4F72-A4F8-963E0BBE6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LibreOffice/7.6.7.2$Windows_X86_64 LibreOffice_project/dd47e4b30cb7dab30588d6c79c651f218165e3c5</Application>
  <AppVersion>15.0000</AppVersion>
  <Pages>44</Pages>
  <Words>33278</Words>
  <Characters>199419</Characters>
  <CharactersWithSpaces>230276</CharactersWithSpaces>
  <Paragraphs>2448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2026-01-14T10:09:00Z</dcterms:created>
  <dc:creator>mmartini</dc:creator>
  <dc:description/>
  <dc:language>it-IT</dc:language>
  <cp:lastModifiedBy/>
  <cp:lastPrinted>2025-10-15T09:35:00Z</cp:lastPrinted>
  <dcterms:modified xsi:type="dcterms:W3CDTF">2026-01-23T08:53:03Z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